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71A59" w14:textId="34B50064" w:rsidR="00AA7205" w:rsidRDefault="00A57A72" w:rsidP="00475234">
      <w:pPr>
        <w:spacing w:after="0" w:line="240" w:lineRule="auto"/>
      </w:pPr>
      <w:r>
        <w:t>Point of Contact:</w:t>
      </w:r>
      <w:r>
        <w:tab/>
      </w:r>
      <w:r w:rsidR="002F52C7">
        <w:t>Name of Contact</w:t>
      </w:r>
      <w:r w:rsidR="00475234">
        <w:t>: Nicolene Prinsloo</w:t>
      </w:r>
    </w:p>
    <w:p w14:paraId="6817488C" w14:textId="26F539D8" w:rsidR="002F52C7" w:rsidRDefault="002F52C7" w:rsidP="005603CE">
      <w:pPr>
        <w:pStyle w:val="Default"/>
        <w:rPr>
          <w:rStyle w:val="Hyperlink"/>
          <w:sz w:val="22"/>
          <w:szCs w:val="22"/>
        </w:rPr>
      </w:pPr>
      <w:r>
        <w:tab/>
      </w:r>
      <w:r>
        <w:tab/>
      </w:r>
      <w:r>
        <w:tab/>
      </w:r>
      <w:r w:rsidRPr="00A22605">
        <w:t>Email:</w:t>
      </w:r>
      <w:r w:rsidR="005603CE">
        <w:t xml:space="preserve"> </w:t>
      </w:r>
      <w:hyperlink r:id="rId11" w:history="1">
        <w:r w:rsidR="005603CE" w:rsidRPr="00471F68">
          <w:rPr>
            <w:rStyle w:val="Hyperlink"/>
            <w:sz w:val="22"/>
            <w:szCs w:val="22"/>
          </w:rPr>
          <w:t>marketing@vox-power.com</w:t>
        </w:r>
      </w:hyperlink>
    </w:p>
    <w:p w14:paraId="13D90FA8" w14:textId="77777777" w:rsidR="0061215D" w:rsidRPr="00A22605" w:rsidRDefault="0061215D" w:rsidP="005603CE">
      <w:pPr>
        <w:pStyle w:val="Default"/>
      </w:pPr>
    </w:p>
    <w:p w14:paraId="1C8BA072" w14:textId="7083180F" w:rsidR="0061215D" w:rsidRPr="0013178C" w:rsidRDefault="009236EB" w:rsidP="0013178C">
      <w:pPr>
        <w:pStyle w:val="Heading1"/>
        <w:rPr>
          <w:rFonts w:ascii="Arial" w:eastAsia="Times New Roman" w:hAnsi="Arial" w:cs="Arial"/>
          <w:color w:val="auto"/>
          <w:spacing w:val="8"/>
          <w:sz w:val="28"/>
          <w:szCs w:val="28"/>
          <w:lang w:eastAsia="en-ZA"/>
        </w:rPr>
      </w:pPr>
      <w:r w:rsidRPr="005D4CC0">
        <w:rPr>
          <w:color w:val="auto"/>
          <w:szCs w:val="40"/>
        </w:rPr>
        <w:t xml:space="preserve">Vox Power Ltd – </w:t>
      </w:r>
      <w:r w:rsidR="005376E4" w:rsidRPr="0013178C">
        <w:rPr>
          <w:color w:val="auto"/>
          <w:szCs w:val="40"/>
        </w:rPr>
        <w:t xml:space="preserve">New </w:t>
      </w:r>
      <w:r w:rsidRPr="0013178C">
        <w:rPr>
          <w:color w:val="auto"/>
          <w:szCs w:val="40"/>
        </w:rPr>
        <w:t xml:space="preserve">Release </w:t>
      </w:r>
      <w:r w:rsidR="0013178C" w:rsidRPr="0013178C">
        <w:rPr>
          <w:rFonts w:eastAsia="Times New Roman" w:cs="Arial"/>
          <w:color w:val="auto"/>
          <w:spacing w:val="8"/>
          <w:szCs w:val="40"/>
          <w:lang w:eastAsia="en-ZA"/>
        </w:rPr>
        <w:t>EIRE300 Open Frame AC-DC Power Series, a High-Density 300W 4” x 2” Power Supply with a Low 1” Profile, Medical (2 MOPP) BF-Rating, and ITE Approvals</w:t>
      </w:r>
    </w:p>
    <w:p w14:paraId="73919A97" w14:textId="093A4C3E" w:rsidR="00E94176" w:rsidRPr="008418D3" w:rsidRDefault="00E94176" w:rsidP="008418D3">
      <w:pPr>
        <w:pStyle w:val="ListParagraph"/>
        <w:numPr>
          <w:ilvl w:val="0"/>
          <w:numId w:val="2"/>
        </w:numPr>
        <w:spacing w:after="0" w:line="240" w:lineRule="auto"/>
        <w:textAlignment w:val="baseline"/>
        <w:outlineLvl w:val="2"/>
        <w:rPr>
          <w:rFonts w:ascii="Arial" w:eastAsia="Times New Roman" w:hAnsi="Arial" w:cs="Arial"/>
          <w:spacing w:val="8"/>
          <w:sz w:val="28"/>
          <w:szCs w:val="28"/>
          <w:lang w:eastAsia="en-ZA"/>
        </w:rPr>
      </w:pPr>
      <w:r w:rsidRPr="008418D3">
        <w:rPr>
          <w:rFonts w:ascii="Arial" w:eastAsia="Times New Roman" w:hAnsi="Arial" w:cs="Arial"/>
          <w:spacing w:val="8"/>
          <w:sz w:val="28"/>
          <w:szCs w:val="28"/>
          <w:lang w:eastAsia="en-ZA"/>
        </w:rPr>
        <w:t>300W (375W peak for 1 sec) Fan</w:t>
      </w:r>
      <w:r w:rsidR="000705B6">
        <w:rPr>
          <w:rFonts w:ascii="Arial" w:eastAsia="Times New Roman" w:hAnsi="Arial" w:cs="Arial"/>
          <w:spacing w:val="8"/>
          <w:sz w:val="28"/>
          <w:szCs w:val="28"/>
          <w:lang w:eastAsia="en-ZA"/>
        </w:rPr>
        <w:t>-</w:t>
      </w:r>
      <w:r w:rsidRPr="008418D3">
        <w:rPr>
          <w:rFonts w:ascii="Arial" w:eastAsia="Times New Roman" w:hAnsi="Arial" w:cs="Arial"/>
          <w:spacing w:val="8"/>
          <w:sz w:val="28"/>
          <w:szCs w:val="28"/>
          <w:lang w:eastAsia="en-ZA"/>
        </w:rPr>
        <w:t>cooled</w:t>
      </w:r>
    </w:p>
    <w:p w14:paraId="33E488B8" w14:textId="52975C03" w:rsidR="00E94176" w:rsidRPr="008418D3" w:rsidRDefault="00E94176" w:rsidP="008418D3">
      <w:pPr>
        <w:pStyle w:val="ListParagraph"/>
        <w:numPr>
          <w:ilvl w:val="0"/>
          <w:numId w:val="2"/>
        </w:numPr>
        <w:spacing w:after="0" w:line="240" w:lineRule="auto"/>
        <w:textAlignment w:val="baseline"/>
        <w:outlineLvl w:val="2"/>
        <w:rPr>
          <w:rFonts w:ascii="Arial" w:eastAsia="Times New Roman" w:hAnsi="Arial" w:cs="Arial"/>
          <w:spacing w:val="8"/>
          <w:sz w:val="28"/>
          <w:szCs w:val="28"/>
          <w:lang w:eastAsia="en-ZA"/>
        </w:rPr>
      </w:pPr>
      <w:r w:rsidRPr="008418D3">
        <w:rPr>
          <w:rFonts w:ascii="Arial" w:eastAsia="Times New Roman" w:hAnsi="Arial" w:cs="Arial"/>
          <w:spacing w:val="8"/>
          <w:sz w:val="28"/>
          <w:szCs w:val="28"/>
          <w:lang w:eastAsia="en-ZA"/>
        </w:rPr>
        <w:t xml:space="preserve">200W </w:t>
      </w:r>
      <w:r w:rsidR="004C7FCC" w:rsidRPr="004C7FCC">
        <w:rPr>
          <w:rFonts w:ascii="Arial" w:eastAsia="Times New Roman" w:hAnsi="Arial" w:cs="Arial"/>
          <w:spacing w:val="8"/>
          <w:sz w:val="28"/>
          <w:szCs w:val="28"/>
          <w:lang w:eastAsia="en-ZA"/>
        </w:rPr>
        <w:t>(115V</w:t>
      </w:r>
      <w:r w:rsidR="004C7FCC" w:rsidRPr="00F3031B">
        <w:rPr>
          <w:rFonts w:ascii="Arial" w:eastAsia="Times New Roman" w:hAnsi="Arial" w:cs="Arial"/>
          <w:spacing w:val="8"/>
          <w:sz w:val="28"/>
          <w:szCs w:val="28"/>
          <w:vertAlign w:val="subscript"/>
          <w:lang w:eastAsia="en-ZA"/>
        </w:rPr>
        <w:t>AC</w:t>
      </w:r>
      <w:r w:rsidR="004C7FCC" w:rsidRPr="004C7FCC">
        <w:rPr>
          <w:rFonts w:ascii="Arial" w:eastAsia="Times New Roman" w:hAnsi="Arial" w:cs="Arial"/>
          <w:spacing w:val="8"/>
          <w:sz w:val="28"/>
          <w:szCs w:val="28"/>
          <w:lang w:eastAsia="en-ZA"/>
        </w:rPr>
        <w:t>)</w:t>
      </w:r>
      <w:r w:rsidR="00AF2AC9">
        <w:rPr>
          <w:rFonts w:ascii="Arial" w:eastAsia="Times New Roman" w:hAnsi="Arial" w:cs="Arial"/>
          <w:spacing w:val="8"/>
          <w:sz w:val="28"/>
          <w:szCs w:val="28"/>
          <w:lang w:eastAsia="en-ZA"/>
        </w:rPr>
        <w:t xml:space="preserve"> </w:t>
      </w:r>
      <w:r w:rsidRPr="008418D3">
        <w:rPr>
          <w:rFonts w:ascii="Arial" w:eastAsia="Times New Roman" w:hAnsi="Arial" w:cs="Arial"/>
          <w:spacing w:val="8"/>
          <w:sz w:val="28"/>
          <w:szCs w:val="28"/>
          <w:lang w:eastAsia="en-ZA"/>
        </w:rPr>
        <w:t>Convection</w:t>
      </w:r>
      <w:r w:rsidR="000705B6">
        <w:rPr>
          <w:rFonts w:ascii="Arial" w:eastAsia="Times New Roman" w:hAnsi="Arial" w:cs="Arial"/>
          <w:spacing w:val="8"/>
          <w:sz w:val="28"/>
          <w:szCs w:val="28"/>
          <w:lang w:eastAsia="en-ZA"/>
        </w:rPr>
        <w:t>-</w:t>
      </w:r>
      <w:r w:rsidRPr="008418D3">
        <w:rPr>
          <w:rFonts w:ascii="Arial" w:eastAsia="Times New Roman" w:hAnsi="Arial" w:cs="Arial"/>
          <w:spacing w:val="8"/>
          <w:sz w:val="28"/>
          <w:szCs w:val="28"/>
          <w:lang w:eastAsia="en-ZA"/>
        </w:rPr>
        <w:t>cooled</w:t>
      </w:r>
    </w:p>
    <w:p w14:paraId="615DCA0B" w14:textId="7CC5F4B0" w:rsidR="00E94176" w:rsidRDefault="00E94176" w:rsidP="00CC005D">
      <w:pPr>
        <w:pStyle w:val="ListParagraph"/>
        <w:numPr>
          <w:ilvl w:val="0"/>
          <w:numId w:val="2"/>
        </w:numPr>
        <w:spacing w:after="0" w:line="240" w:lineRule="auto"/>
        <w:textAlignment w:val="baseline"/>
        <w:outlineLvl w:val="2"/>
        <w:rPr>
          <w:rFonts w:ascii="Arial" w:eastAsia="Times New Roman" w:hAnsi="Arial" w:cs="Arial"/>
          <w:color w:val="656565"/>
          <w:spacing w:val="8"/>
          <w:sz w:val="28"/>
          <w:szCs w:val="28"/>
          <w:lang w:eastAsia="en-ZA"/>
        </w:rPr>
      </w:pPr>
      <w:r w:rsidRPr="008418D3">
        <w:rPr>
          <w:rFonts w:ascii="Arial" w:eastAsia="Times New Roman" w:hAnsi="Arial" w:cs="Arial"/>
          <w:spacing w:val="8"/>
          <w:sz w:val="28"/>
          <w:szCs w:val="28"/>
          <w:lang w:eastAsia="en-ZA"/>
        </w:rPr>
        <w:t>Best</w:t>
      </w:r>
      <w:r w:rsidR="00536D86">
        <w:rPr>
          <w:rFonts w:ascii="Arial" w:eastAsia="Times New Roman" w:hAnsi="Arial" w:cs="Arial"/>
          <w:spacing w:val="8"/>
          <w:sz w:val="28"/>
          <w:szCs w:val="28"/>
          <w:lang w:eastAsia="en-ZA"/>
        </w:rPr>
        <w:t>-</w:t>
      </w:r>
      <w:r w:rsidRPr="008418D3">
        <w:rPr>
          <w:rFonts w:ascii="Arial" w:eastAsia="Times New Roman" w:hAnsi="Arial" w:cs="Arial"/>
          <w:spacing w:val="8"/>
          <w:sz w:val="28"/>
          <w:szCs w:val="28"/>
          <w:lang w:eastAsia="en-ZA"/>
        </w:rPr>
        <w:t>in</w:t>
      </w:r>
      <w:r w:rsidR="00536D86">
        <w:rPr>
          <w:rFonts w:ascii="Arial" w:eastAsia="Times New Roman" w:hAnsi="Arial" w:cs="Arial"/>
          <w:spacing w:val="8"/>
          <w:sz w:val="28"/>
          <w:szCs w:val="28"/>
          <w:lang w:eastAsia="en-ZA"/>
        </w:rPr>
        <w:t>-</w:t>
      </w:r>
      <w:r w:rsidRPr="008418D3">
        <w:rPr>
          <w:rFonts w:ascii="Arial" w:eastAsia="Times New Roman" w:hAnsi="Arial" w:cs="Arial"/>
          <w:spacing w:val="8"/>
          <w:sz w:val="28"/>
          <w:szCs w:val="28"/>
          <w:lang w:eastAsia="en-ZA"/>
        </w:rPr>
        <w:t>Class power density – 37.5W In³</w:t>
      </w:r>
      <w:r w:rsidRPr="008418D3">
        <w:rPr>
          <w:rFonts w:ascii="Arial" w:eastAsia="Times New Roman" w:hAnsi="Arial" w:cs="Arial"/>
          <w:color w:val="656565"/>
          <w:spacing w:val="8"/>
          <w:sz w:val="28"/>
          <w:szCs w:val="28"/>
          <w:lang w:eastAsia="en-ZA"/>
        </w:rPr>
        <w:br/>
      </w:r>
    </w:p>
    <w:p w14:paraId="34EEEC12" w14:textId="33E1B70F" w:rsidR="000629FC" w:rsidRPr="008418D3" w:rsidRDefault="00BA048E" w:rsidP="000629FC">
      <w:pPr>
        <w:spacing w:after="0" w:line="240" w:lineRule="auto"/>
        <w:textAlignment w:val="baseline"/>
        <w:outlineLvl w:val="2"/>
      </w:pPr>
      <w:r w:rsidRPr="00795C04">
        <w:rPr>
          <w:b/>
          <w:bCs/>
          <w:lang w:val="en-GB"/>
        </w:rPr>
        <w:t>Dublin, Ireland, 15 October 2024</w:t>
      </w:r>
      <w:r w:rsidRPr="008418D3">
        <w:rPr>
          <w:lang w:val="en-GB"/>
        </w:rPr>
        <w:t xml:space="preserve"> – </w:t>
      </w:r>
      <w:r w:rsidR="000629FC" w:rsidRPr="00B92096">
        <w:t xml:space="preserve">Vox Power Ltd is pleased to announce </w:t>
      </w:r>
      <w:hyperlink r:id="rId12" w:history="1">
        <w:r w:rsidR="000629FC" w:rsidRPr="00851021">
          <w:rPr>
            <w:rStyle w:val="Hyperlink"/>
          </w:rPr>
          <w:t>the EIRE300 series</w:t>
        </w:r>
      </w:hyperlink>
      <w:r w:rsidR="000629FC" w:rsidRPr="00B92096">
        <w:t xml:space="preserve">, an advanced </w:t>
      </w:r>
      <w:r w:rsidR="000629FC">
        <w:t>range</w:t>
      </w:r>
      <w:r w:rsidR="000629FC" w:rsidRPr="00B92096">
        <w:t xml:space="preserve"> of AC/DC power supplies that combines compact design with exceptional reliability and efficiency. Designed for medical and ITE applications, the EIRE300 delivers 300 Watts with a peak output of 375 Watts within a compact 4” x 2” footprint and a slim 1” profile.</w:t>
      </w:r>
    </w:p>
    <w:p w14:paraId="1D5CDE20" w14:textId="77777777" w:rsidR="00763720" w:rsidRDefault="00763720" w:rsidP="00CC005D">
      <w:pPr>
        <w:spacing w:after="0" w:line="240" w:lineRule="auto"/>
        <w:textAlignment w:val="baseline"/>
        <w:outlineLvl w:val="2"/>
        <w:rPr>
          <w:rFonts w:eastAsia="Times New Roman" w:cs="Arial"/>
          <w:spacing w:val="8"/>
          <w:lang w:eastAsia="en-ZA"/>
        </w:rPr>
      </w:pPr>
    </w:p>
    <w:p w14:paraId="5AC71A32" w14:textId="13B1AF1E" w:rsidR="00790C82" w:rsidRDefault="001E7130" w:rsidP="001E7130">
      <w:pPr>
        <w:spacing w:after="0" w:line="240" w:lineRule="auto"/>
        <w:textAlignment w:val="baseline"/>
        <w:outlineLvl w:val="2"/>
        <w:rPr>
          <w:rFonts w:eastAsia="Times New Roman" w:cs="Arial"/>
          <w:spacing w:val="8"/>
          <w:lang w:eastAsia="en-ZA"/>
        </w:rPr>
      </w:pPr>
      <w:r w:rsidRPr="001E7130">
        <w:rPr>
          <w:rFonts w:eastAsia="Times New Roman" w:cs="Arial"/>
          <w:spacing w:val="8"/>
          <w:lang w:eastAsia="en-ZA"/>
        </w:rPr>
        <w:t>The EIRE300 series stands out with its best-in-class power density exceeding 37.5W/in³ and efficiency reaching up to 95%, significantly minimi</w:t>
      </w:r>
      <w:r w:rsidR="00191C73">
        <w:rPr>
          <w:rFonts w:eastAsia="Times New Roman" w:cs="Arial"/>
          <w:spacing w:val="8"/>
          <w:lang w:eastAsia="en-ZA"/>
        </w:rPr>
        <w:t>s</w:t>
      </w:r>
      <w:r w:rsidRPr="001E7130">
        <w:rPr>
          <w:rFonts w:eastAsia="Times New Roman" w:cs="Arial"/>
          <w:spacing w:val="8"/>
          <w:lang w:eastAsia="en-ZA"/>
        </w:rPr>
        <w:t>ing power losses</w:t>
      </w:r>
      <w:r w:rsidR="00B27202">
        <w:rPr>
          <w:rFonts w:eastAsia="Times New Roman" w:cs="Arial"/>
          <w:spacing w:val="8"/>
          <w:lang w:eastAsia="en-ZA"/>
        </w:rPr>
        <w:t xml:space="preserve"> and enabling it </w:t>
      </w:r>
      <w:r w:rsidR="005306AD">
        <w:rPr>
          <w:rFonts w:eastAsia="Times New Roman" w:cs="Arial"/>
          <w:spacing w:val="8"/>
          <w:lang w:eastAsia="en-ZA"/>
        </w:rPr>
        <w:t>to ou</w:t>
      </w:r>
      <w:r w:rsidR="001647AF">
        <w:rPr>
          <w:rFonts w:eastAsia="Times New Roman" w:cs="Arial"/>
          <w:spacing w:val="8"/>
          <w:lang w:eastAsia="en-ZA"/>
        </w:rPr>
        <w:t xml:space="preserve">tperform all other products </w:t>
      </w:r>
      <w:r w:rsidR="00943DEA">
        <w:rPr>
          <w:rFonts w:eastAsia="Times New Roman" w:cs="Arial"/>
          <w:spacing w:val="8"/>
          <w:lang w:eastAsia="en-ZA"/>
        </w:rPr>
        <w:t xml:space="preserve">available </w:t>
      </w:r>
      <w:r w:rsidR="001647AF">
        <w:rPr>
          <w:rFonts w:eastAsia="Times New Roman" w:cs="Arial"/>
          <w:spacing w:val="8"/>
          <w:lang w:eastAsia="en-ZA"/>
        </w:rPr>
        <w:t xml:space="preserve">on the market. </w:t>
      </w:r>
      <w:r w:rsidRPr="001E7130">
        <w:rPr>
          <w:rFonts w:eastAsia="Times New Roman" w:cs="Arial"/>
          <w:spacing w:val="8"/>
          <w:lang w:eastAsia="en-ZA"/>
        </w:rPr>
        <w:t xml:space="preserve">It offers versatility with </w:t>
      </w:r>
      <w:r w:rsidR="0051196A">
        <w:rPr>
          <w:rFonts w:eastAsia="Times New Roman" w:cs="Arial"/>
          <w:spacing w:val="8"/>
          <w:lang w:eastAsia="en-ZA"/>
        </w:rPr>
        <w:t xml:space="preserve">unrivalled </w:t>
      </w:r>
      <w:r w:rsidRPr="001E7130">
        <w:rPr>
          <w:rFonts w:eastAsia="Times New Roman" w:cs="Arial"/>
          <w:spacing w:val="8"/>
          <w:lang w:eastAsia="en-ZA"/>
        </w:rPr>
        <w:t xml:space="preserve">convection-cooled ratings of 200 Watts </w:t>
      </w:r>
      <w:r w:rsidR="00A77060" w:rsidRPr="00A77060">
        <w:rPr>
          <w:rFonts w:eastAsia="Times New Roman" w:cs="Arial"/>
          <w:spacing w:val="8"/>
          <w:lang w:eastAsia="en-ZA"/>
        </w:rPr>
        <w:t>(115V</w:t>
      </w:r>
      <w:r w:rsidR="00A77060" w:rsidRPr="00A77060">
        <w:rPr>
          <w:rFonts w:eastAsia="Times New Roman" w:cs="Arial"/>
          <w:spacing w:val="8"/>
          <w:vertAlign w:val="subscript"/>
          <w:lang w:eastAsia="en-ZA"/>
        </w:rPr>
        <w:t>AC</w:t>
      </w:r>
      <w:r w:rsidR="00A77060" w:rsidRPr="00A77060">
        <w:rPr>
          <w:rFonts w:eastAsia="Times New Roman" w:cs="Arial"/>
          <w:spacing w:val="8"/>
          <w:lang w:eastAsia="en-ZA"/>
        </w:rPr>
        <w:t>)</w:t>
      </w:r>
      <w:r w:rsidRPr="001E7130">
        <w:rPr>
          <w:rFonts w:eastAsia="Times New Roman" w:cs="Arial"/>
          <w:spacing w:val="8"/>
          <w:lang w:eastAsia="en-ZA"/>
        </w:rPr>
        <w:t xml:space="preserve">, making it suitable for a </w:t>
      </w:r>
      <w:r w:rsidR="005444FB">
        <w:rPr>
          <w:rFonts w:eastAsia="Times New Roman" w:cs="Arial"/>
          <w:spacing w:val="8"/>
          <w:lang w:eastAsia="en-ZA"/>
        </w:rPr>
        <w:t xml:space="preserve">wide </w:t>
      </w:r>
      <w:r w:rsidRPr="001E7130">
        <w:rPr>
          <w:rFonts w:eastAsia="Times New Roman" w:cs="Arial"/>
          <w:spacing w:val="8"/>
          <w:lang w:eastAsia="en-ZA"/>
        </w:rPr>
        <w:t>range of applications.</w:t>
      </w:r>
    </w:p>
    <w:p w14:paraId="7A2BBC17" w14:textId="77777777" w:rsidR="00790C82" w:rsidRDefault="00790C82" w:rsidP="00F65E2B">
      <w:pPr>
        <w:spacing w:after="0" w:line="240" w:lineRule="auto"/>
        <w:textAlignment w:val="baseline"/>
        <w:outlineLvl w:val="2"/>
        <w:rPr>
          <w:rFonts w:eastAsia="Times New Roman" w:cs="Arial"/>
          <w:spacing w:val="8"/>
          <w:lang w:eastAsia="en-ZA"/>
        </w:rPr>
      </w:pPr>
    </w:p>
    <w:p w14:paraId="08E07A59" w14:textId="54BCA090" w:rsidR="008E30A0" w:rsidRDefault="008E30A0" w:rsidP="008E30A0">
      <w:pPr>
        <w:spacing w:after="0" w:line="240" w:lineRule="auto"/>
        <w:textAlignment w:val="baseline"/>
        <w:rPr>
          <w:rFonts w:eastAsia="Times New Roman" w:cs="Arial"/>
          <w:spacing w:val="8"/>
          <w:lang w:eastAsia="en-ZA"/>
        </w:rPr>
      </w:pPr>
      <w:r w:rsidRPr="008E30A0">
        <w:rPr>
          <w:rFonts w:eastAsia="Times New Roman" w:cs="Arial"/>
          <w:spacing w:val="8"/>
          <w:lang w:eastAsia="en-ZA"/>
        </w:rPr>
        <w:t xml:space="preserve">Engineered for seamless integration into medical and industrial applications, the EIRE300 features 2 x MOPP isolation, low leakage currents, </w:t>
      </w:r>
      <w:r w:rsidR="00FE6E1F">
        <w:rPr>
          <w:rFonts w:eastAsia="Times New Roman" w:cs="Arial"/>
          <w:spacing w:val="8"/>
          <w:lang w:eastAsia="en-ZA"/>
        </w:rPr>
        <w:t xml:space="preserve">standard mounting holes </w:t>
      </w:r>
      <w:r w:rsidRPr="008E30A0">
        <w:rPr>
          <w:rFonts w:eastAsia="Times New Roman" w:cs="Arial"/>
          <w:spacing w:val="8"/>
          <w:lang w:eastAsia="en-ZA"/>
        </w:rPr>
        <w:t xml:space="preserve">and a dedicated auxiliary fan supply. Additional standard features include internal dual line fusing, remote sensing, and an AC_OK signal. </w:t>
      </w:r>
      <w:r w:rsidR="00757C54" w:rsidRPr="00757C54">
        <w:rPr>
          <w:rFonts w:eastAsia="Times New Roman" w:cs="Arial"/>
          <w:spacing w:val="8"/>
          <w:lang w:eastAsia="en-ZA"/>
        </w:rPr>
        <w:t>The EIRE300’s low standby power consumption of typically 0.25W makes it optimal for energy-critical applications</w:t>
      </w:r>
      <w:r w:rsidRPr="008E30A0">
        <w:rPr>
          <w:rFonts w:eastAsia="Times New Roman" w:cs="Arial"/>
          <w:spacing w:val="8"/>
          <w:lang w:eastAsia="en-ZA"/>
        </w:rPr>
        <w:t>.</w:t>
      </w:r>
    </w:p>
    <w:p w14:paraId="07DBD64D" w14:textId="77777777" w:rsidR="008E30A0" w:rsidRDefault="008E30A0" w:rsidP="00044FD6">
      <w:pPr>
        <w:spacing w:after="0" w:line="240" w:lineRule="auto"/>
        <w:textAlignment w:val="baseline"/>
        <w:rPr>
          <w:rFonts w:eastAsia="Times New Roman" w:cs="Arial"/>
          <w:spacing w:val="8"/>
          <w:lang w:eastAsia="en-ZA"/>
        </w:rPr>
      </w:pPr>
    </w:p>
    <w:p w14:paraId="73D031EA" w14:textId="204EA633" w:rsidR="00A03A23" w:rsidRDefault="00A03A23" w:rsidP="00A03A23">
      <w:pPr>
        <w:spacing w:after="0" w:line="240" w:lineRule="auto"/>
        <w:textAlignment w:val="baseline"/>
        <w:rPr>
          <w:rFonts w:eastAsia="Times New Roman" w:cs="Arial"/>
          <w:spacing w:val="8"/>
          <w:lang w:eastAsia="en-ZA"/>
        </w:rPr>
      </w:pPr>
      <w:r w:rsidRPr="008418D3">
        <w:rPr>
          <w:rFonts w:eastAsia="Times New Roman" w:cs="Arial"/>
          <w:spacing w:val="8"/>
          <w:lang w:eastAsia="en-ZA"/>
        </w:rPr>
        <w:t xml:space="preserve">The </w:t>
      </w:r>
      <w:r>
        <w:rPr>
          <w:rFonts w:eastAsia="Times New Roman" w:cs="Arial"/>
          <w:spacing w:val="8"/>
          <w:lang w:eastAsia="en-ZA"/>
        </w:rPr>
        <w:t xml:space="preserve">series </w:t>
      </w:r>
      <w:r w:rsidRPr="008418D3">
        <w:rPr>
          <w:rFonts w:eastAsia="Times New Roman" w:cs="Arial"/>
          <w:spacing w:val="8"/>
          <w:lang w:eastAsia="en-ZA"/>
        </w:rPr>
        <w:t xml:space="preserve">is not only certified to the latest international Medical and ITE Safety Standards but also offers a “BF” rating, making it suitable for equipment that requires direct contact with patients. This rating is crucial for applications like surgical instruments and critical care medical devices, ensuring that they can be safely used close to the patient without risk of electrical hazards. </w:t>
      </w:r>
    </w:p>
    <w:p w14:paraId="62177AED" w14:textId="77777777" w:rsidR="004467A4" w:rsidRDefault="004467A4" w:rsidP="004467A4">
      <w:pPr>
        <w:spacing w:after="0" w:line="240" w:lineRule="auto"/>
        <w:textAlignment w:val="baseline"/>
        <w:rPr>
          <w:rFonts w:eastAsia="Times New Roman" w:cs="Arial"/>
          <w:spacing w:val="8"/>
          <w:lang w:eastAsia="en-ZA"/>
        </w:rPr>
      </w:pPr>
    </w:p>
    <w:p w14:paraId="4CF2AF5A" w14:textId="40F70E28" w:rsidR="00863F6B" w:rsidRDefault="00B840F8" w:rsidP="00863F6B">
      <w:pPr>
        <w:spacing w:line="240" w:lineRule="auto"/>
        <w:textAlignment w:val="baseline"/>
        <w:rPr>
          <w:rFonts w:eastAsia="Times New Roman" w:cs="Arial"/>
          <w:spacing w:val="8"/>
          <w:lang w:eastAsia="en-ZA"/>
        </w:rPr>
      </w:pPr>
      <w:hyperlink r:id="rId13" w:history="1">
        <w:r w:rsidRPr="00851021">
          <w:rPr>
            <w:rStyle w:val="Hyperlink"/>
            <w:rFonts w:eastAsia="Times New Roman" w:cs="Arial"/>
            <w:spacing w:val="8"/>
            <w:lang w:eastAsia="en-ZA"/>
          </w:rPr>
          <w:t>The EIRE300 series</w:t>
        </w:r>
      </w:hyperlink>
      <w:r w:rsidRPr="00B840F8">
        <w:rPr>
          <w:rFonts w:eastAsia="Times New Roman" w:cs="Arial"/>
          <w:spacing w:val="8"/>
          <w:lang w:eastAsia="en-ZA"/>
        </w:rPr>
        <w:t xml:space="preserve"> offers a range of output voltages from 12V to </w:t>
      </w:r>
      <w:r w:rsidR="00AB5583">
        <w:rPr>
          <w:rFonts w:eastAsia="Times New Roman" w:cs="Arial"/>
          <w:spacing w:val="8"/>
          <w:lang w:eastAsia="en-ZA"/>
        </w:rPr>
        <w:t>60</w:t>
      </w:r>
      <w:r w:rsidRPr="00B840F8">
        <w:rPr>
          <w:rFonts w:eastAsia="Times New Roman" w:cs="Arial"/>
          <w:spacing w:val="8"/>
          <w:lang w:eastAsia="en-ZA"/>
        </w:rPr>
        <w:t xml:space="preserve">V, </w:t>
      </w:r>
      <w:r w:rsidR="00D93DFE">
        <w:rPr>
          <w:rFonts w:eastAsia="Times New Roman" w:cs="Arial"/>
          <w:spacing w:val="8"/>
          <w:lang w:eastAsia="en-ZA"/>
        </w:rPr>
        <w:t>including</w:t>
      </w:r>
      <w:r w:rsidRPr="00B840F8">
        <w:rPr>
          <w:rFonts w:eastAsia="Times New Roman" w:cs="Arial"/>
          <w:spacing w:val="8"/>
          <w:lang w:eastAsia="en-ZA"/>
        </w:rPr>
        <w:t xml:space="preserve"> standard options of 12V, 15V, 18V, 24V, 28V, 36V, 48V, and 54V. Each output has a wide adjustment range, ensuring compatibility with most non-standard voltage requirements within this range. </w:t>
      </w:r>
      <w:r w:rsidR="00863F6B" w:rsidRPr="000C0694">
        <w:rPr>
          <w:rFonts w:eastAsia="Times New Roman" w:cs="Arial"/>
          <w:spacing w:val="8"/>
          <w:lang w:eastAsia="en-ZA"/>
        </w:rPr>
        <w:t xml:space="preserve">Comprehensive protection features such as over-voltage, over-current, and over-temperature safeguards are </w:t>
      </w:r>
      <w:r w:rsidR="003A5994">
        <w:rPr>
          <w:rFonts w:eastAsia="Times New Roman" w:cs="Arial"/>
          <w:spacing w:val="8"/>
          <w:lang w:eastAsia="en-ZA"/>
        </w:rPr>
        <w:t>standard</w:t>
      </w:r>
      <w:r w:rsidR="00863F6B" w:rsidRPr="000C0694">
        <w:rPr>
          <w:rFonts w:eastAsia="Times New Roman" w:cs="Arial"/>
          <w:spacing w:val="8"/>
          <w:lang w:eastAsia="en-ZA"/>
        </w:rPr>
        <w:t>.</w:t>
      </w:r>
    </w:p>
    <w:p w14:paraId="68C17165" w14:textId="1BD2AAB6" w:rsidR="00A44716" w:rsidRDefault="007B272E" w:rsidP="00A44716">
      <w:pPr>
        <w:spacing w:line="240" w:lineRule="auto"/>
        <w:textAlignment w:val="baseline"/>
        <w:rPr>
          <w:rFonts w:eastAsia="Times New Roman" w:cs="Arial"/>
          <w:spacing w:val="8"/>
          <w:lang w:eastAsia="en-ZA"/>
        </w:rPr>
      </w:pPr>
      <w:r w:rsidRPr="007B272E">
        <w:rPr>
          <w:rFonts w:eastAsia="Times New Roman" w:cs="Arial"/>
          <w:spacing w:val="8"/>
          <w:lang w:eastAsia="en-ZA"/>
        </w:rPr>
        <w:t xml:space="preserve">Designed for both Class I and Class II equipment, the EIRE300 meets EMC Class B standards for conducted and radiated emissions. It is capable of operating at altitudes up to 5000 meters and is approved to 60601-1 and 62368-1 for medical and ITE applications, as well as compliant with </w:t>
      </w:r>
      <w:r w:rsidR="00DD7379" w:rsidRPr="00DD7379">
        <w:rPr>
          <w:rFonts w:eastAsia="Times New Roman" w:cs="Arial"/>
          <w:spacing w:val="8"/>
          <w:lang w:eastAsia="en-ZA"/>
        </w:rPr>
        <w:t>60601-1-2 (EMC)</w:t>
      </w:r>
      <w:r w:rsidR="00DD7379">
        <w:rPr>
          <w:rFonts w:eastAsia="Times New Roman" w:cs="Arial"/>
          <w:spacing w:val="8"/>
          <w:lang w:eastAsia="en-ZA"/>
        </w:rPr>
        <w:t xml:space="preserve">, </w:t>
      </w:r>
      <w:r w:rsidRPr="007B272E">
        <w:rPr>
          <w:rFonts w:eastAsia="Times New Roman" w:cs="Arial"/>
          <w:spacing w:val="8"/>
          <w:lang w:eastAsia="en-ZA"/>
        </w:rPr>
        <w:t>60335</w:t>
      </w:r>
      <w:r w:rsidR="000C75DC">
        <w:rPr>
          <w:rFonts w:eastAsia="Times New Roman" w:cs="Arial"/>
          <w:spacing w:val="8"/>
          <w:lang w:eastAsia="en-ZA"/>
        </w:rPr>
        <w:t>-1</w:t>
      </w:r>
      <w:r w:rsidRPr="007B272E">
        <w:rPr>
          <w:rFonts w:eastAsia="Times New Roman" w:cs="Arial"/>
          <w:spacing w:val="8"/>
          <w:lang w:eastAsia="en-ZA"/>
        </w:rPr>
        <w:t xml:space="preserve"> (</w:t>
      </w:r>
      <w:r w:rsidR="00583540" w:rsidRPr="00583540">
        <w:rPr>
          <w:rFonts w:eastAsia="Times New Roman" w:cs="Arial"/>
          <w:spacing w:val="8"/>
          <w:lang w:eastAsia="en-ZA"/>
        </w:rPr>
        <w:t>Household appliances</w:t>
      </w:r>
      <w:r w:rsidRPr="007B272E">
        <w:rPr>
          <w:rFonts w:eastAsia="Times New Roman" w:cs="Arial"/>
          <w:spacing w:val="8"/>
          <w:lang w:eastAsia="en-ZA"/>
        </w:rPr>
        <w:t>)</w:t>
      </w:r>
      <w:r w:rsidR="00814F62">
        <w:rPr>
          <w:rFonts w:eastAsia="Times New Roman" w:cs="Arial"/>
          <w:spacing w:val="8"/>
          <w:lang w:eastAsia="en-ZA"/>
        </w:rPr>
        <w:t>,</w:t>
      </w:r>
      <w:r w:rsidRPr="007B272E">
        <w:rPr>
          <w:rFonts w:eastAsia="Times New Roman" w:cs="Arial"/>
          <w:spacing w:val="8"/>
          <w:lang w:eastAsia="en-ZA"/>
        </w:rPr>
        <w:t xml:space="preserve"> </w:t>
      </w:r>
      <w:r w:rsidR="002B713F" w:rsidRPr="002B713F">
        <w:rPr>
          <w:rFonts w:eastAsia="Times New Roman" w:cs="Arial"/>
          <w:spacing w:val="8"/>
          <w:lang w:val="en-IE" w:eastAsia="en-ZA"/>
        </w:rPr>
        <w:t>61010-1</w:t>
      </w:r>
      <w:r w:rsidR="00814F62">
        <w:rPr>
          <w:rFonts w:eastAsia="Times New Roman" w:cs="Arial"/>
          <w:spacing w:val="8"/>
          <w:lang w:val="en-IE" w:eastAsia="en-ZA"/>
        </w:rPr>
        <w:t xml:space="preserve"> </w:t>
      </w:r>
      <w:r w:rsidR="002B713F" w:rsidRPr="002B713F">
        <w:rPr>
          <w:rFonts w:eastAsia="Times New Roman" w:cs="Arial"/>
          <w:spacing w:val="8"/>
          <w:lang w:val="en-IE" w:eastAsia="en-ZA"/>
        </w:rPr>
        <w:t>(Measurement, Control &amp; Laboratory Equipment) and 61558-1 (Safety of Power Transformers) standards</w:t>
      </w:r>
      <w:r w:rsidR="004330E0">
        <w:rPr>
          <w:rFonts w:eastAsia="Times New Roman" w:cs="Arial"/>
          <w:spacing w:val="8"/>
          <w:lang w:val="en-IE" w:eastAsia="en-ZA"/>
        </w:rPr>
        <w:t>.</w:t>
      </w:r>
      <w:r w:rsidR="000C75DC">
        <w:rPr>
          <w:rFonts w:eastAsia="Times New Roman" w:cs="Arial"/>
          <w:spacing w:val="8"/>
          <w:lang w:val="en-IE" w:eastAsia="en-ZA"/>
        </w:rPr>
        <w:br/>
      </w:r>
      <w:r w:rsidR="000C75DC">
        <w:rPr>
          <w:rFonts w:eastAsia="Times New Roman" w:cs="Arial"/>
          <w:spacing w:val="8"/>
          <w:lang w:val="en-IE" w:eastAsia="en-ZA"/>
        </w:rPr>
        <w:br/>
      </w:r>
      <w:r w:rsidR="00A44716" w:rsidRPr="00A44716">
        <w:rPr>
          <w:rFonts w:eastAsia="Times New Roman" w:cs="Arial"/>
          <w:spacing w:val="8"/>
          <w:lang w:eastAsia="en-ZA"/>
        </w:rPr>
        <w:lastRenderedPageBreak/>
        <w:t>To maximi</w:t>
      </w:r>
      <w:r w:rsidR="0074344B">
        <w:rPr>
          <w:rFonts w:eastAsia="Times New Roman" w:cs="Arial"/>
          <w:spacing w:val="8"/>
          <w:lang w:eastAsia="en-ZA"/>
        </w:rPr>
        <w:t>s</w:t>
      </w:r>
      <w:r w:rsidR="00A44716" w:rsidRPr="00A44716">
        <w:rPr>
          <w:rFonts w:eastAsia="Times New Roman" w:cs="Arial"/>
          <w:spacing w:val="8"/>
          <w:lang w:eastAsia="en-ZA"/>
        </w:rPr>
        <w:t xml:space="preserve">e reliability and performance, the </w:t>
      </w:r>
      <w:r w:rsidR="008249ED">
        <w:rPr>
          <w:rFonts w:eastAsia="Times New Roman" w:cs="Arial"/>
          <w:spacing w:val="8"/>
          <w:lang w:eastAsia="en-ZA"/>
        </w:rPr>
        <w:t xml:space="preserve">product </w:t>
      </w:r>
      <w:r w:rsidR="00A90EAE">
        <w:rPr>
          <w:rFonts w:eastAsia="Times New Roman" w:cs="Arial"/>
          <w:spacing w:val="8"/>
          <w:lang w:eastAsia="en-ZA"/>
        </w:rPr>
        <w:t>design</w:t>
      </w:r>
      <w:r w:rsidR="00A44716" w:rsidRPr="00A44716">
        <w:rPr>
          <w:rFonts w:eastAsia="Times New Roman" w:cs="Arial"/>
          <w:spacing w:val="8"/>
          <w:lang w:eastAsia="en-ZA"/>
        </w:rPr>
        <w:t xml:space="preserve"> utili</w:t>
      </w:r>
      <w:r w:rsidR="003B77B1">
        <w:rPr>
          <w:rFonts w:eastAsia="Times New Roman" w:cs="Arial"/>
          <w:spacing w:val="8"/>
          <w:lang w:eastAsia="en-ZA"/>
        </w:rPr>
        <w:t>s</w:t>
      </w:r>
      <w:r w:rsidR="00A44716" w:rsidRPr="00A44716">
        <w:rPr>
          <w:rFonts w:eastAsia="Times New Roman" w:cs="Arial"/>
          <w:spacing w:val="8"/>
          <w:lang w:eastAsia="en-ZA"/>
        </w:rPr>
        <w:t>es ultra long-life electrolytic capacitors and comes conformal coated as standard to protect against environmental contaminants. Its high-efficiency design reduces heat output, supporting a wide operating temperature range of -40°C to +70°C, with a calculated MTBF exceeding 500k hours.</w:t>
      </w:r>
    </w:p>
    <w:p w14:paraId="2F0915B8" w14:textId="13F089F9" w:rsidR="008F7233" w:rsidRPr="00023B00" w:rsidRDefault="008F7233" w:rsidP="008F7233">
      <w:pPr>
        <w:spacing w:line="240" w:lineRule="auto"/>
        <w:textAlignment w:val="baseline"/>
        <w:rPr>
          <w:rFonts w:eastAsia="Times New Roman" w:cs="Arial"/>
          <w:spacing w:val="8"/>
          <w:lang w:eastAsia="en-ZA"/>
        </w:rPr>
      </w:pPr>
      <w:hyperlink r:id="rId14" w:history="1">
        <w:r w:rsidRPr="007B2058">
          <w:rPr>
            <w:rStyle w:val="Hyperlink"/>
            <w:rFonts w:eastAsia="Times New Roman" w:cs="Arial"/>
            <w:b/>
            <w:bCs/>
            <w:spacing w:val="8"/>
            <w:lang w:eastAsia="en-ZA"/>
          </w:rPr>
          <w:t>Download the EIRE300 Series datasheet</w:t>
        </w:r>
      </w:hyperlink>
      <w:r w:rsidRPr="008F7233">
        <w:rPr>
          <w:rFonts w:eastAsia="Times New Roman" w:cs="Arial"/>
          <w:spacing w:val="8"/>
          <w:lang w:eastAsia="en-ZA"/>
        </w:rPr>
        <w:t xml:space="preserve"> </w:t>
      </w:r>
      <w:r w:rsidR="00D9568C">
        <w:rPr>
          <w:rFonts w:eastAsia="Times New Roman" w:cs="Arial"/>
          <w:spacing w:val="8"/>
          <w:lang w:eastAsia="en-ZA"/>
        </w:rPr>
        <w:t>and</w:t>
      </w:r>
      <w:r w:rsidR="003757C9">
        <w:rPr>
          <w:rFonts w:eastAsia="Times New Roman" w:cs="Arial"/>
          <w:spacing w:val="8"/>
          <w:lang w:eastAsia="en-ZA"/>
        </w:rPr>
        <w:t xml:space="preserve"> view the </w:t>
      </w:r>
      <w:hyperlink r:id="rId15" w:history="1">
        <w:r w:rsidR="003757C9" w:rsidRPr="00EC3542">
          <w:rPr>
            <w:rStyle w:val="Hyperlink"/>
            <w:rFonts w:eastAsia="Times New Roman" w:cs="Arial"/>
            <w:b/>
            <w:bCs/>
            <w:spacing w:val="8"/>
            <w:lang w:eastAsia="en-ZA"/>
          </w:rPr>
          <w:t>EIRE300 Series demonstration video</w:t>
        </w:r>
      </w:hyperlink>
      <w:r w:rsidR="00DC00B2">
        <w:rPr>
          <w:rFonts w:eastAsia="Times New Roman" w:cs="Arial"/>
          <w:spacing w:val="8"/>
          <w:lang w:eastAsia="en-ZA"/>
        </w:rPr>
        <w:t xml:space="preserve">. </w:t>
      </w:r>
      <w:r w:rsidRPr="008F7233">
        <w:rPr>
          <w:rFonts w:eastAsia="Times New Roman" w:cs="Arial"/>
          <w:spacing w:val="8"/>
          <w:lang w:eastAsia="en-ZA"/>
        </w:rPr>
        <w:t xml:space="preserve">Samples will be available from </w:t>
      </w:r>
      <w:r w:rsidR="00545524">
        <w:rPr>
          <w:rFonts w:eastAsia="Times New Roman" w:cs="Arial"/>
          <w:spacing w:val="8"/>
          <w:lang w:eastAsia="en-ZA"/>
        </w:rPr>
        <w:t>Q1</w:t>
      </w:r>
      <w:r w:rsidRPr="008F7233">
        <w:rPr>
          <w:rFonts w:eastAsia="Times New Roman" w:cs="Arial"/>
          <w:spacing w:val="8"/>
          <w:lang w:eastAsia="en-ZA"/>
        </w:rPr>
        <w:t xml:space="preserve"> 2025. Please contact your local distributor or Vox Power to discuss your EIRE300 application.</w:t>
      </w:r>
      <w:r w:rsidR="007B2058">
        <w:rPr>
          <w:rFonts w:eastAsia="Times New Roman" w:cs="Arial"/>
          <w:spacing w:val="8"/>
          <w:lang w:eastAsia="en-ZA"/>
        </w:rPr>
        <w:br/>
      </w:r>
    </w:p>
    <w:p w14:paraId="6A65DD65" w14:textId="037D0C52" w:rsidR="00C97EFC" w:rsidRPr="00D2445A" w:rsidRDefault="00C97EFC" w:rsidP="00C97EFC">
      <w:pPr>
        <w:tabs>
          <w:tab w:val="left" w:pos="6880"/>
        </w:tabs>
        <w:rPr>
          <w:rStyle w:val="Hyperlink"/>
        </w:rPr>
      </w:pPr>
      <w:r>
        <w:t xml:space="preserve">For a more in-depth understanding of Vox Power Ltd and its offerings, kindly explore our official website at </w:t>
      </w:r>
      <w:r>
        <w:fldChar w:fldCharType="begin"/>
      </w:r>
      <w:r w:rsidR="008B6D96">
        <w:instrText>HYPERLINK "https://www.vox-power.com/?utm_source=Electronica_EIRE300+PR&amp;utm_medium=Press+Release_Vox+Power&amp;utm_campaign=Electronica_EIRE300_Press+Release_Vox+Power+Home"</w:instrText>
      </w:r>
      <w:r>
        <w:fldChar w:fldCharType="separate"/>
      </w:r>
      <w:r w:rsidRPr="00D2445A">
        <w:rPr>
          <w:rStyle w:val="Hyperlink"/>
        </w:rPr>
        <w:t>www.vox-power.com</w:t>
      </w:r>
    </w:p>
    <w:p w14:paraId="04812CD8" w14:textId="24780574" w:rsidR="00F035C1" w:rsidRPr="00EC4368" w:rsidRDefault="00C97EFC" w:rsidP="00C27EF8">
      <w:pPr>
        <w:pStyle w:val="Default"/>
        <w:rPr>
          <w:sz w:val="22"/>
          <w:szCs w:val="22"/>
        </w:rPr>
      </w:pPr>
      <w:r>
        <w:fldChar w:fldCharType="end"/>
      </w:r>
      <w:r w:rsidR="00DF6434" w:rsidRPr="00EC4368">
        <w:rPr>
          <w:sz w:val="22"/>
          <w:szCs w:val="22"/>
        </w:rPr>
        <w:t xml:space="preserve"> </w:t>
      </w:r>
    </w:p>
    <w:p w14:paraId="49906CE9" w14:textId="77777777" w:rsidR="00F2288A" w:rsidRPr="00C53424" w:rsidRDefault="00F2288A" w:rsidP="00F2288A">
      <w:pPr>
        <w:pStyle w:val="Default"/>
        <w:rPr>
          <w:b/>
          <w:bCs/>
          <w:sz w:val="22"/>
          <w:szCs w:val="22"/>
        </w:rPr>
      </w:pPr>
      <w:r w:rsidRPr="00C53424">
        <w:rPr>
          <w:b/>
          <w:bCs/>
          <w:sz w:val="22"/>
          <w:szCs w:val="22"/>
        </w:rPr>
        <w:t xml:space="preserve">About Vox Power </w:t>
      </w:r>
    </w:p>
    <w:p w14:paraId="2491CB20" w14:textId="4E1C28E7" w:rsidR="00977E46" w:rsidRDefault="00F2288A" w:rsidP="00931D15">
      <w:pPr>
        <w:pStyle w:val="Default"/>
      </w:pPr>
      <w:r w:rsidRPr="00EC4368">
        <w:rPr>
          <w:sz w:val="22"/>
          <w:szCs w:val="22"/>
        </w:rPr>
        <w:t>Headquartered in Ireland, Vox Power Ltd design and manufacture a range of unique high-density and highly efficient AC/DC power solutions and DC/DC converters for Medical, Industrial and Technology markets. The unrivalled size and weight advantages of our power supplies</w:t>
      </w:r>
      <w:r w:rsidR="005D6931">
        <w:rPr>
          <w:sz w:val="22"/>
          <w:szCs w:val="22"/>
        </w:rPr>
        <w:t xml:space="preserve"> combined</w:t>
      </w:r>
      <w:r w:rsidRPr="00EC4368">
        <w:rPr>
          <w:sz w:val="22"/>
          <w:szCs w:val="22"/>
        </w:rPr>
        <w:t xml:space="preserve"> with market leading functionality and features, enable customers to create innovative, smaller</w:t>
      </w:r>
      <w:r w:rsidR="00297711">
        <w:rPr>
          <w:sz w:val="22"/>
          <w:szCs w:val="22"/>
        </w:rPr>
        <w:t>, highly efficient</w:t>
      </w:r>
      <w:r w:rsidRPr="00EC4368">
        <w:rPr>
          <w:sz w:val="22"/>
          <w:szCs w:val="22"/>
        </w:rPr>
        <w:t xml:space="preserve"> and aesthetically pleasing end solutions. We offer a comprehensive range of configurable</w:t>
      </w:r>
      <w:r w:rsidR="00DC1FEA" w:rsidRPr="00EC4368">
        <w:rPr>
          <w:sz w:val="22"/>
          <w:szCs w:val="22"/>
        </w:rPr>
        <w:t xml:space="preserve">, </w:t>
      </w:r>
      <w:r w:rsidRPr="00EC4368">
        <w:rPr>
          <w:sz w:val="22"/>
          <w:szCs w:val="22"/>
        </w:rPr>
        <w:t>fan-less conduction cooled</w:t>
      </w:r>
      <w:r w:rsidR="00FD7C67" w:rsidRPr="00EC4368">
        <w:rPr>
          <w:sz w:val="22"/>
          <w:szCs w:val="22"/>
        </w:rPr>
        <w:t xml:space="preserve">, </w:t>
      </w:r>
      <w:r w:rsidR="00CD03F5" w:rsidRPr="00EC4368">
        <w:rPr>
          <w:sz w:val="22"/>
          <w:szCs w:val="22"/>
        </w:rPr>
        <w:t xml:space="preserve">convection cooled </w:t>
      </w:r>
      <w:r w:rsidR="002A4180" w:rsidRPr="00EC4368">
        <w:rPr>
          <w:sz w:val="22"/>
          <w:szCs w:val="22"/>
        </w:rPr>
        <w:t>or fan-coo</w:t>
      </w:r>
      <w:r w:rsidR="00F26F59" w:rsidRPr="00EC4368">
        <w:rPr>
          <w:sz w:val="22"/>
          <w:szCs w:val="22"/>
        </w:rPr>
        <w:t xml:space="preserve">led </w:t>
      </w:r>
      <w:r w:rsidRPr="00EC4368">
        <w:rPr>
          <w:sz w:val="22"/>
          <w:szCs w:val="22"/>
        </w:rPr>
        <w:t>power solutions for a broad range of applications, including healthcare, industrial, test-&amp;-measurement</w:t>
      </w:r>
      <w:r>
        <w:rPr>
          <w:sz w:val="22"/>
          <w:szCs w:val="22"/>
        </w:rPr>
        <w:t xml:space="preserve">, communications, railway, battery electric vehicles, etc. Premium quality and reliability are complimented by world class technical support. </w:t>
      </w:r>
      <w:r w:rsidR="000B4F59">
        <w:rPr>
          <w:sz w:val="22"/>
          <w:szCs w:val="22"/>
        </w:rPr>
        <w:br/>
      </w:r>
      <w:r w:rsidR="000B4F59">
        <w:rPr>
          <w:sz w:val="22"/>
          <w:szCs w:val="22"/>
        </w:rPr>
        <w:br/>
      </w:r>
    </w:p>
    <w:p w14:paraId="70760890" w14:textId="2A1B0A46" w:rsidR="00164656" w:rsidRPr="00A22605" w:rsidRDefault="00847AC8" w:rsidP="00DF6434">
      <w:pPr>
        <w:tabs>
          <w:tab w:val="left" w:pos="6880"/>
        </w:tabs>
        <w:rPr>
          <w:rFonts w:cs="Arial"/>
          <w:color w:val="656565"/>
          <w:spacing w:val="8"/>
          <w:u w:val="single"/>
          <w:shd w:val="clear" w:color="auto" w:fill="FFFFFF"/>
        </w:rPr>
      </w:pPr>
      <w:r w:rsidRPr="00475234">
        <w:rPr>
          <w:lang w:val="en-GB"/>
        </w:rPr>
        <w:br/>
      </w:r>
    </w:p>
    <w:sectPr w:rsidR="00164656" w:rsidRPr="00A22605" w:rsidSect="004622D9">
      <w:headerReference w:type="default" r:id="rId16"/>
      <w:footerReference w:type="default" r:id="rId17"/>
      <w:headerReference w:type="firs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3C2AD" w14:textId="77777777" w:rsidR="00C93DB8" w:rsidRDefault="00C93DB8" w:rsidP="004622D9">
      <w:pPr>
        <w:spacing w:after="0" w:line="240" w:lineRule="auto"/>
      </w:pPr>
      <w:r>
        <w:separator/>
      </w:r>
    </w:p>
  </w:endnote>
  <w:endnote w:type="continuationSeparator" w:id="0">
    <w:p w14:paraId="10741AA6" w14:textId="77777777" w:rsidR="00C93DB8" w:rsidRDefault="00C93DB8" w:rsidP="004622D9">
      <w:pPr>
        <w:spacing w:after="0" w:line="240" w:lineRule="auto"/>
      </w:pPr>
      <w:r>
        <w:continuationSeparator/>
      </w:r>
    </w:p>
  </w:endnote>
  <w:endnote w:type="continuationNotice" w:id="1">
    <w:p w14:paraId="15E92537" w14:textId="77777777" w:rsidR="00C93DB8" w:rsidRDefault="00C93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B9C1AA6-BAB5-4C10-9740-2310640F001A}"/>
    <w:embedBold r:id="rId2" w:fontKey="{7AA7DC0F-3D0D-4C71-BC2C-1E4C20E48C91}"/>
  </w:font>
  <w:font w:name="Myriad Pro Light">
    <w:altName w:val="Myriad Pro Light"/>
    <w:panose1 w:val="020B0403030403020204"/>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embedRegular r:id="rId3" w:fontKey="{9B5622BD-1DCB-4B23-819A-07CFF4C022B9}"/>
  </w:font>
  <w:font w:name="Segoe UI">
    <w:panose1 w:val="020B0502040204020203"/>
    <w:charset w:val="00"/>
    <w:family w:val="swiss"/>
    <w:pitch w:val="variable"/>
    <w:sig w:usb0="E4002EFF" w:usb1="C000E47F" w:usb2="00000009" w:usb3="00000000" w:csb0="000001FF" w:csb1="00000000"/>
    <w:embedRegular r:id="rId4" w:fontKey="{5CCD543F-32CD-4650-A66A-0EEE875D0E7A}"/>
  </w:font>
  <w:font w:name="Calibri Light">
    <w:panose1 w:val="020F0302020204030204"/>
    <w:charset w:val="00"/>
    <w:family w:val="swiss"/>
    <w:pitch w:val="variable"/>
    <w:sig w:usb0="E4002EFF" w:usb1="C200247B" w:usb2="00000009" w:usb3="00000000" w:csb0="000001FF" w:csb1="00000000"/>
    <w:embedRegular r:id="rId5" w:fontKey="{B3DC328D-4DE0-4B3D-8C28-1D6B3A5D51DC}"/>
  </w:font>
  <w:font w:name="MyriadPro-Regular">
    <w:altName w:val="Cambria"/>
    <w:panose1 w:val="020B0503030403020204"/>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888842"/>
      <w:docPartObj>
        <w:docPartGallery w:val="Page Numbers (Top of Page)"/>
        <w:docPartUnique/>
      </w:docPartObj>
    </w:sdtPr>
    <w:sdtContent>
      <w:p w14:paraId="74EE43F1" w14:textId="5CB140BC" w:rsidR="004622D9" w:rsidRDefault="004622D9" w:rsidP="004622D9">
        <w:pPr>
          <w:pStyle w:val="Footer"/>
          <w:jc w:val="right"/>
          <w:rPr>
            <w:bCs/>
            <w:sz w:val="20"/>
            <w:szCs w:val="20"/>
          </w:rPr>
        </w:pPr>
        <w:r w:rsidRPr="00855DF1">
          <w:rPr>
            <w:sz w:val="20"/>
            <w:szCs w:val="20"/>
          </w:rPr>
          <w:t xml:space="preserve">Page </w:t>
        </w:r>
        <w:r w:rsidRPr="00855DF1">
          <w:rPr>
            <w:bCs/>
            <w:sz w:val="20"/>
            <w:szCs w:val="20"/>
          </w:rPr>
          <w:fldChar w:fldCharType="begin"/>
        </w:r>
        <w:r w:rsidRPr="00855DF1">
          <w:rPr>
            <w:bCs/>
            <w:sz w:val="20"/>
            <w:szCs w:val="20"/>
          </w:rPr>
          <w:instrText xml:space="preserve"> PAGE </w:instrText>
        </w:r>
        <w:r w:rsidRPr="00855DF1">
          <w:rPr>
            <w:bCs/>
            <w:sz w:val="20"/>
            <w:szCs w:val="20"/>
          </w:rPr>
          <w:fldChar w:fldCharType="separate"/>
        </w:r>
        <w:r w:rsidR="00210AA3">
          <w:rPr>
            <w:bCs/>
            <w:noProof/>
            <w:sz w:val="20"/>
            <w:szCs w:val="20"/>
          </w:rPr>
          <w:t>2</w:t>
        </w:r>
        <w:r w:rsidRPr="00855DF1">
          <w:rPr>
            <w:bCs/>
            <w:sz w:val="20"/>
            <w:szCs w:val="20"/>
          </w:rPr>
          <w:fldChar w:fldCharType="end"/>
        </w:r>
        <w:r w:rsidRPr="00855DF1">
          <w:rPr>
            <w:sz w:val="20"/>
            <w:szCs w:val="20"/>
          </w:rPr>
          <w:t xml:space="preserve"> of </w:t>
        </w:r>
        <w:r w:rsidRPr="00855DF1">
          <w:rPr>
            <w:bCs/>
            <w:sz w:val="20"/>
            <w:szCs w:val="20"/>
          </w:rPr>
          <w:fldChar w:fldCharType="begin"/>
        </w:r>
        <w:r w:rsidRPr="00855DF1">
          <w:rPr>
            <w:bCs/>
            <w:sz w:val="20"/>
            <w:szCs w:val="20"/>
          </w:rPr>
          <w:instrText xml:space="preserve"> NUMPAGES  </w:instrText>
        </w:r>
        <w:r w:rsidRPr="00855DF1">
          <w:rPr>
            <w:bCs/>
            <w:sz w:val="20"/>
            <w:szCs w:val="20"/>
          </w:rPr>
          <w:fldChar w:fldCharType="separate"/>
        </w:r>
        <w:r w:rsidR="00210AA3">
          <w:rPr>
            <w:bCs/>
            <w:noProof/>
            <w:sz w:val="20"/>
            <w:szCs w:val="20"/>
          </w:rPr>
          <w:t>2</w:t>
        </w:r>
        <w:r w:rsidRPr="00855DF1">
          <w:rPr>
            <w:bCs/>
            <w:sz w:val="20"/>
            <w:szCs w:val="20"/>
          </w:rPr>
          <w:fldChar w:fldCharType="end"/>
        </w:r>
      </w:p>
      <w:p w14:paraId="73B16910" w14:textId="77777777" w:rsidR="004622D9" w:rsidRDefault="004622D9" w:rsidP="004622D9">
        <w:pPr>
          <w:pStyle w:val="Footer"/>
          <w:jc w:val="right"/>
          <w:rPr>
            <w:bCs/>
            <w:sz w:val="20"/>
            <w:szCs w:val="20"/>
          </w:rPr>
        </w:pPr>
      </w:p>
      <w:p w14:paraId="6B9715F0" w14:textId="77777777" w:rsidR="001D7247" w:rsidRPr="007D5355" w:rsidRDefault="001D7247" w:rsidP="001D7247">
        <w:pPr>
          <w:pStyle w:val="Footer"/>
          <w:jc w:val="center"/>
          <w:rPr>
            <w:rFonts w:cs="MyriadPro-Regular"/>
            <w:color w:val="262626"/>
            <w:sz w:val="14"/>
            <w:szCs w:val="14"/>
          </w:rPr>
        </w:pPr>
        <w:r w:rsidRPr="003F2273">
          <w:rPr>
            <w:rFonts w:cs="MyriadPro-Regular"/>
            <w:color w:val="262626"/>
            <w:sz w:val="16"/>
            <w:szCs w:val="16"/>
          </w:rPr>
          <w:t>Vox Power Limited | Unit 2, Red Cow Interchange Estate, Ballymount, Du</w:t>
        </w:r>
        <w:r w:rsidRPr="003F2273">
          <w:rPr>
            <w:rFonts w:cs="MyriadPro-Regular"/>
            <w:color w:val="262626"/>
            <w:sz w:val="14"/>
            <w:szCs w:val="14"/>
          </w:rPr>
          <w:t>blin</w:t>
        </w:r>
        <w:r w:rsidRPr="007D5355">
          <w:rPr>
            <w:rFonts w:cs="MyriadPro-Regular"/>
            <w:color w:val="262626"/>
            <w:sz w:val="14"/>
            <w:szCs w:val="14"/>
          </w:rPr>
          <w:t xml:space="preserve"> 22, D22 Y8H2, Ireland | T +353 1 4591161 | www.vox-power.com</w:t>
        </w:r>
      </w:p>
      <w:p w14:paraId="1E31885C" w14:textId="77777777" w:rsidR="001D7247" w:rsidRPr="007D5355" w:rsidRDefault="001D7247" w:rsidP="001D7247">
        <w:pPr>
          <w:pStyle w:val="Footer"/>
          <w:jc w:val="right"/>
          <w:rPr>
            <w:rFonts w:cs="MyriadPro-Regular"/>
            <w:color w:val="262626"/>
            <w:sz w:val="14"/>
            <w:szCs w:val="14"/>
          </w:rPr>
        </w:pPr>
      </w:p>
      <w:p w14:paraId="36202D6C" w14:textId="7EC0785D" w:rsidR="006845F2" w:rsidRPr="001D7247" w:rsidRDefault="001D7247" w:rsidP="001D7247">
        <w:pPr>
          <w:pStyle w:val="Footer"/>
          <w:jc w:val="right"/>
          <w:rPr>
            <w:sz w:val="14"/>
            <w:szCs w:val="14"/>
          </w:rPr>
        </w:pPr>
        <w:r w:rsidRPr="007D5355">
          <w:rPr>
            <w:rFonts w:cs="Calibri"/>
            <w:color w:val="000000"/>
            <w:sz w:val="14"/>
            <w:szCs w:val="14"/>
            <w:shd w:val="clear" w:color="auto" w:fill="FFFFFF"/>
          </w:rPr>
          <w:t xml:space="preserve">Vox Power Press Release </w:t>
        </w:r>
        <w:r w:rsidR="00237B81">
          <w:rPr>
            <w:rFonts w:cs="Calibri"/>
            <w:color w:val="000000"/>
            <w:sz w:val="14"/>
            <w:szCs w:val="14"/>
            <w:shd w:val="clear" w:color="auto" w:fill="FFFFFF"/>
          </w:rPr>
          <w:t>EIRE300</w:t>
        </w:r>
        <w:r w:rsidR="00AA4A05">
          <w:rPr>
            <w:rFonts w:cs="Calibri"/>
            <w:color w:val="000000"/>
            <w:sz w:val="14"/>
            <w:szCs w:val="14"/>
            <w:shd w:val="clear" w:color="auto" w:fill="FFFFFF"/>
          </w:rPr>
          <w:t xml:space="preserve"> </w:t>
        </w:r>
        <w:r w:rsidR="00AE7C6D">
          <w:rPr>
            <w:rFonts w:cs="Calibri"/>
            <w:color w:val="000000"/>
            <w:sz w:val="14"/>
            <w:szCs w:val="14"/>
            <w:shd w:val="clear" w:color="auto" w:fill="FFFFFF"/>
          </w:rPr>
          <w:t xml:space="preserve">Power Series, </w:t>
        </w:r>
        <w:r w:rsidR="007B1AEF">
          <w:rPr>
            <w:rFonts w:cs="Calibri"/>
            <w:color w:val="000000"/>
            <w:sz w:val="14"/>
            <w:szCs w:val="14"/>
            <w:shd w:val="clear" w:color="auto" w:fill="FFFFFF"/>
          </w:rPr>
          <w:t>300W</w:t>
        </w:r>
        <w:r w:rsidR="00757C41">
          <w:rPr>
            <w:rFonts w:cs="Calibri"/>
            <w:color w:val="000000"/>
            <w:sz w:val="14"/>
            <w:szCs w:val="14"/>
            <w:shd w:val="clear" w:color="auto" w:fill="FFFFFF"/>
          </w:rPr>
          <w:t xml:space="preserve"> Open Frame</w:t>
        </w:r>
        <w:r w:rsidR="00F81FEB">
          <w:rPr>
            <w:rFonts w:cs="Calibri"/>
            <w:color w:val="000000"/>
            <w:sz w:val="14"/>
            <w:szCs w:val="14"/>
            <w:shd w:val="clear" w:color="auto" w:fill="FFFFFF"/>
          </w:rPr>
          <w:t xml:space="preserve"> 4</w:t>
        </w:r>
        <w:r w:rsidR="00FE7575">
          <w:rPr>
            <w:rFonts w:cs="Calibri"/>
            <w:color w:val="000000"/>
            <w:sz w:val="14"/>
            <w:szCs w:val="14"/>
            <w:shd w:val="clear" w:color="auto" w:fill="FFFFFF"/>
          </w:rPr>
          <w:t>” x 2”</w:t>
        </w:r>
        <w:r w:rsidRPr="000E5525">
          <w:rPr>
            <w:rFonts w:cs="Calibri"/>
            <w:color w:val="000000"/>
            <w:sz w:val="14"/>
            <w:szCs w:val="14"/>
            <w:shd w:val="clear" w:color="auto" w:fill="FFFFFF"/>
          </w:rPr>
          <w:t xml:space="preserve"> x 1” </w:t>
        </w:r>
        <w:r w:rsidR="00D42CED">
          <w:rPr>
            <w:rFonts w:cs="Calibri"/>
            <w:color w:val="000000"/>
            <w:sz w:val="14"/>
            <w:szCs w:val="14"/>
            <w:shd w:val="clear" w:color="auto" w:fill="FFFFFF"/>
          </w:rPr>
          <w:t>AC-DC</w:t>
        </w:r>
      </w:p>
      <w:p w14:paraId="29150D55" w14:textId="06779F1F" w:rsidR="004622D9" w:rsidRDefault="00000000" w:rsidP="006845F2">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6970E" w14:textId="5156BCB9" w:rsidR="004622D9" w:rsidRDefault="004622D9" w:rsidP="004622D9">
    <w:pPr>
      <w:pStyle w:val="Footer"/>
      <w:jc w:val="right"/>
      <w:rPr>
        <w:bCs/>
        <w:sz w:val="20"/>
        <w:szCs w:val="20"/>
      </w:rPr>
    </w:pPr>
    <w:r w:rsidRPr="00855DF1">
      <w:rPr>
        <w:sz w:val="20"/>
        <w:szCs w:val="20"/>
      </w:rPr>
      <w:t xml:space="preserve">Page </w:t>
    </w:r>
    <w:r w:rsidRPr="00855DF1">
      <w:rPr>
        <w:bCs/>
        <w:sz w:val="20"/>
        <w:szCs w:val="20"/>
      </w:rPr>
      <w:fldChar w:fldCharType="begin"/>
    </w:r>
    <w:r w:rsidRPr="00855DF1">
      <w:rPr>
        <w:bCs/>
        <w:sz w:val="20"/>
        <w:szCs w:val="20"/>
      </w:rPr>
      <w:instrText xml:space="preserve"> PAGE </w:instrText>
    </w:r>
    <w:r w:rsidRPr="00855DF1">
      <w:rPr>
        <w:bCs/>
        <w:sz w:val="20"/>
        <w:szCs w:val="20"/>
      </w:rPr>
      <w:fldChar w:fldCharType="separate"/>
    </w:r>
    <w:r w:rsidR="00210AA3">
      <w:rPr>
        <w:bCs/>
        <w:noProof/>
        <w:sz w:val="20"/>
        <w:szCs w:val="20"/>
      </w:rPr>
      <w:t>1</w:t>
    </w:r>
    <w:r w:rsidRPr="00855DF1">
      <w:rPr>
        <w:bCs/>
        <w:sz w:val="20"/>
        <w:szCs w:val="20"/>
      </w:rPr>
      <w:fldChar w:fldCharType="end"/>
    </w:r>
    <w:r w:rsidRPr="00855DF1">
      <w:rPr>
        <w:sz w:val="20"/>
        <w:szCs w:val="20"/>
      </w:rPr>
      <w:t xml:space="preserve"> of </w:t>
    </w:r>
    <w:r w:rsidRPr="00855DF1">
      <w:rPr>
        <w:bCs/>
        <w:sz w:val="20"/>
        <w:szCs w:val="20"/>
      </w:rPr>
      <w:fldChar w:fldCharType="begin"/>
    </w:r>
    <w:r w:rsidRPr="00855DF1">
      <w:rPr>
        <w:bCs/>
        <w:sz w:val="20"/>
        <w:szCs w:val="20"/>
      </w:rPr>
      <w:instrText xml:space="preserve"> NUMPAGES  </w:instrText>
    </w:r>
    <w:r w:rsidRPr="00855DF1">
      <w:rPr>
        <w:bCs/>
        <w:sz w:val="20"/>
        <w:szCs w:val="20"/>
      </w:rPr>
      <w:fldChar w:fldCharType="separate"/>
    </w:r>
    <w:r w:rsidR="00210AA3">
      <w:rPr>
        <w:bCs/>
        <w:noProof/>
        <w:sz w:val="20"/>
        <w:szCs w:val="20"/>
      </w:rPr>
      <w:t>2</w:t>
    </w:r>
    <w:r w:rsidRPr="00855DF1">
      <w:rPr>
        <w:bCs/>
        <w:sz w:val="20"/>
        <w:szCs w:val="20"/>
      </w:rPr>
      <w:fldChar w:fldCharType="end"/>
    </w:r>
  </w:p>
  <w:p w14:paraId="1E5DC3AA" w14:textId="77777777" w:rsidR="004622D9" w:rsidRPr="003F2273" w:rsidRDefault="004622D9" w:rsidP="004622D9">
    <w:pPr>
      <w:pStyle w:val="Footer"/>
      <w:jc w:val="right"/>
      <w:rPr>
        <w:sz w:val="20"/>
        <w:szCs w:val="20"/>
      </w:rPr>
    </w:pPr>
  </w:p>
  <w:p w14:paraId="0E28007E" w14:textId="77777777" w:rsidR="004622D9" w:rsidRPr="007D5355" w:rsidRDefault="004622D9" w:rsidP="004622D9">
    <w:pPr>
      <w:pStyle w:val="Footer"/>
      <w:jc w:val="center"/>
      <w:rPr>
        <w:rFonts w:cs="MyriadPro-Regular"/>
        <w:color w:val="262626"/>
        <w:sz w:val="14"/>
        <w:szCs w:val="14"/>
      </w:rPr>
    </w:pPr>
    <w:r w:rsidRPr="003F2273">
      <w:rPr>
        <w:rFonts w:cs="MyriadPro-Regular"/>
        <w:color w:val="262626"/>
        <w:sz w:val="16"/>
        <w:szCs w:val="16"/>
      </w:rPr>
      <w:t>Vox Power Limited | Unit 2, Red Cow Interchange Estate, Ballymount, Du</w:t>
    </w:r>
    <w:r w:rsidRPr="003F2273">
      <w:rPr>
        <w:rFonts w:cs="MyriadPro-Regular"/>
        <w:color w:val="262626"/>
        <w:sz w:val="14"/>
        <w:szCs w:val="14"/>
      </w:rPr>
      <w:t>blin</w:t>
    </w:r>
    <w:r w:rsidRPr="007D5355">
      <w:rPr>
        <w:rFonts w:cs="MyriadPro-Regular"/>
        <w:color w:val="262626"/>
        <w:sz w:val="14"/>
        <w:szCs w:val="14"/>
      </w:rPr>
      <w:t xml:space="preserve"> 22, D22 Y8H2, Ireland | T +353 1 4591161 | www.vox-power.com</w:t>
    </w:r>
  </w:p>
  <w:p w14:paraId="2FA789F0" w14:textId="77777777" w:rsidR="004622D9" w:rsidRPr="007D5355" w:rsidRDefault="004622D9" w:rsidP="004622D9">
    <w:pPr>
      <w:pStyle w:val="Footer"/>
      <w:jc w:val="right"/>
      <w:rPr>
        <w:rFonts w:cs="MyriadPro-Regular"/>
        <w:color w:val="262626"/>
        <w:sz w:val="14"/>
        <w:szCs w:val="14"/>
      </w:rPr>
    </w:pPr>
  </w:p>
  <w:p w14:paraId="11E3C6D0" w14:textId="77777777" w:rsidR="00CD13D1" w:rsidRPr="001D7247" w:rsidRDefault="00CD13D1" w:rsidP="00CD13D1">
    <w:pPr>
      <w:pStyle w:val="Footer"/>
      <w:jc w:val="right"/>
      <w:rPr>
        <w:sz w:val="14"/>
        <w:szCs w:val="14"/>
      </w:rPr>
    </w:pPr>
    <w:r w:rsidRPr="007D5355">
      <w:rPr>
        <w:rFonts w:cs="Calibri"/>
        <w:color w:val="000000"/>
        <w:sz w:val="14"/>
        <w:szCs w:val="14"/>
        <w:shd w:val="clear" w:color="auto" w:fill="FFFFFF"/>
      </w:rPr>
      <w:t xml:space="preserve">Vox Power Press Release </w:t>
    </w:r>
    <w:r>
      <w:rPr>
        <w:rFonts w:cs="Calibri"/>
        <w:color w:val="000000"/>
        <w:sz w:val="14"/>
        <w:szCs w:val="14"/>
        <w:shd w:val="clear" w:color="auto" w:fill="FFFFFF"/>
      </w:rPr>
      <w:t>EIRE300 Power Series, 300W Open Frame 4” x 2”</w:t>
    </w:r>
    <w:r w:rsidRPr="000E5525">
      <w:rPr>
        <w:rFonts w:cs="Calibri"/>
        <w:color w:val="000000"/>
        <w:sz w:val="14"/>
        <w:szCs w:val="14"/>
        <w:shd w:val="clear" w:color="auto" w:fill="FFFFFF"/>
      </w:rPr>
      <w:t xml:space="preserve"> x 1” </w:t>
    </w:r>
    <w:r>
      <w:rPr>
        <w:rFonts w:cs="Calibri"/>
        <w:color w:val="000000"/>
        <w:sz w:val="14"/>
        <w:szCs w:val="14"/>
        <w:shd w:val="clear" w:color="auto" w:fill="FFFFFF"/>
      </w:rPr>
      <w:t>AC-DC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36B66" w14:textId="77777777" w:rsidR="00C93DB8" w:rsidRDefault="00C93DB8" w:rsidP="004622D9">
      <w:pPr>
        <w:spacing w:after="0" w:line="240" w:lineRule="auto"/>
      </w:pPr>
      <w:r>
        <w:separator/>
      </w:r>
    </w:p>
  </w:footnote>
  <w:footnote w:type="continuationSeparator" w:id="0">
    <w:p w14:paraId="324A4095" w14:textId="77777777" w:rsidR="00C93DB8" w:rsidRDefault="00C93DB8" w:rsidP="004622D9">
      <w:pPr>
        <w:spacing w:after="0" w:line="240" w:lineRule="auto"/>
      </w:pPr>
      <w:r>
        <w:continuationSeparator/>
      </w:r>
    </w:p>
  </w:footnote>
  <w:footnote w:type="continuationNotice" w:id="1">
    <w:p w14:paraId="3E27E9C6" w14:textId="77777777" w:rsidR="00C93DB8" w:rsidRDefault="00C93D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6C558" w14:textId="77777777" w:rsidR="002510EF" w:rsidRPr="002F0E21" w:rsidRDefault="002510EF" w:rsidP="002510EF">
    <w:pPr>
      <w:pStyle w:val="Header"/>
      <w:jc w:val="right"/>
      <w:rPr>
        <w:noProof/>
        <w:color w:val="595959" w:themeColor="text1" w:themeTint="A6"/>
        <w:sz w:val="60"/>
        <w:szCs w:val="60"/>
      </w:rPr>
    </w:pPr>
    <w:r w:rsidRPr="002F0E21">
      <w:rPr>
        <w:noProof/>
      </w:rPr>
      <w:drawing>
        <wp:anchor distT="0" distB="0" distL="114300" distR="114300" simplePos="0" relativeHeight="251658242" behindDoc="0" locked="0" layoutInCell="1" allowOverlap="1" wp14:anchorId="0242A5BC" wp14:editId="51DCE18E">
          <wp:simplePos x="0" y="0"/>
          <wp:positionH relativeFrom="margin">
            <wp:align>left</wp:align>
          </wp:positionH>
          <wp:positionV relativeFrom="paragraph">
            <wp:posOffset>8890</wp:posOffset>
          </wp:positionV>
          <wp:extent cx="1697355" cy="1035050"/>
          <wp:effectExtent l="0" t="0" r="0" b="0"/>
          <wp:wrapNone/>
          <wp:docPr id="1974126584" name="Picture 1974126584"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6584" name="Picture 1974126584" descr="A green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103505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595959" w:themeColor="text1" w:themeTint="A6"/>
        <w:sz w:val="60"/>
        <w:szCs w:val="60"/>
      </w:rPr>
      <w:t>Press Release</w:t>
    </w:r>
  </w:p>
  <w:p w14:paraId="220ED53B" w14:textId="12A0DD5C" w:rsidR="002510EF" w:rsidRDefault="00961DC6" w:rsidP="00961DC6">
    <w:pPr>
      <w:pStyle w:val="Header"/>
      <w:jc w:val="right"/>
    </w:pPr>
    <w:r>
      <w:rPr>
        <w:color w:val="808080" w:themeColor="background1" w:themeShade="80"/>
        <w:sz w:val="28"/>
        <w:szCs w:val="28"/>
      </w:rPr>
      <w:t>15 October 2024</w:t>
    </w:r>
  </w:p>
  <w:p w14:paraId="2E170BE8" w14:textId="77777777" w:rsidR="002510EF" w:rsidRPr="00C6451B" w:rsidRDefault="002510EF" w:rsidP="002510EF">
    <w:pPr>
      <w:tabs>
        <w:tab w:val="center" w:pos="4153"/>
        <w:tab w:val="right" w:pos="8306"/>
      </w:tabs>
      <w:rPr>
        <w:color w:val="ACD143"/>
      </w:rPr>
    </w:pPr>
  </w:p>
  <w:p w14:paraId="45308418" w14:textId="77777777" w:rsidR="002510EF" w:rsidRDefault="002510EF" w:rsidP="002510EF">
    <w:pPr>
      <w:pStyle w:val="Header"/>
    </w:pPr>
    <w:r>
      <w:rPr>
        <w:noProof/>
        <w:color w:val="ACD143"/>
      </w:rPr>
      <mc:AlternateContent>
        <mc:Choice Requires="wps">
          <w:drawing>
            <wp:anchor distT="0" distB="0" distL="114300" distR="114300" simplePos="0" relativeHeight="251658243" behindDoc="0" locked="0" layoutInCell="1" allowOverlap="1" wp14:anchorId="21C5F0A3" wp14:editId="41AD64D9">
              <wp:simplePos x="0" y="0"/>
              <wp:positionH relativeFrom="column">
                <wp:posOffset>-31750</wp:posOffset>
              </wp:positionH>
              <wp:positionV relativeFrom="page">
                <wp:posOffset>1714500</wp:posOffset>
              </wp:positionV>
              <wp:extent cx="6699250" cy="0"/>
              <wp:effectExtent l="0" t="0" r="0" b="0"/>
              <wp:wrapNone/>
              <wp:docPr id="389992431" name="Straight Connector 389992431"/>
              <wp:cNvGraphicFramePr/>
              <a:graphic xmlns:a="http://schemas.openxmlformats.org/drawingml/2006/main">
                <a:graphicData uri="http://schemas.microsoft.com/office/word/2010/wordprocessingShape">
                  <wps:wsp>
                    <wps:cNvCnPr/>
                    <wps:spPr>
                      <a:xfrm>
                        <a:off x="0" y="0"/>
                        <a:ext cx="6699250" cy="0"/>
                      </a:xfrm>
                      <a:prstGeom prst="line">
                        <a:avLst/>
                      </a:prstGeom>
                      <a:ln w="15875" cap="rnd">
                        <a:solidFill>
                          <a:srgbClr val="C4D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7A62E" id="Straight Connector 389992431"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pt,135pt" to="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" strokecolor="#c4d600" strokeweight="1.25pt">
              <v:stroke endcap="round"/>
              <w10:wrap anchory="page"/>
            </v:line>
          </w:pict>
        </mc:Fallback>
      </mc:AlternateContent>
    </w:r>
  </w:p>
  <w:p w14:paraId="71486B20" w14:textId="77777777" w:rsidR="002510EF" w:rsidRDefault="002510EF" w:rsidP="002510EF">
    <w:pPr>
      <w:pStyle w:val="Header"/>
    </w:pPr>
  </w:p>
  <w:p w14:paraId="2C8AA274" w14:textId="05F78505" w:rsidR="004622D9" w:rsidRPr="002510EF" w:rsidRDefault="004622D9" w:rsidP="00251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C3779" w14:textId="7C773BD9" w:rsidR="004622D9" w:rsidRPr="002F0E21" w:rsidRDefault="004622D9" w:rsidP="004622D9">
    <w:pPr>
      <w:pStyle w:val="Header"/>
      <w:jc w:val="right"/>
      <w:rPr>
        <w:noProof/>
        <w:color w:val="595959" w:themeColor="text1" w:themeTint="A6"/>
        <w:sz w:val="60"/>
        <w:szCs w:val="60"/>
      </w:rPr>
    </w:pPr>
    <w:r w:rsidRPr="002F0E21">
      <w:rPr>
        <w:noProof/>
      </w:rPr>
      <w:drawing>
        <wp:anchor distT="0" distB="0" distL="114300" distR="114300" simplePos="0" relativeHeight="251658240" behindDoc="0" locked="0" layoutInCell="1" allowOverlap="1" wp14:anchorId="333D3395" wp14:editId="4DF0AF7F">
          <wp:simplePos x="0" y="0"/>
          <wp:positionH relativeFrom="margin">
            <wp:align>left</wp:align>
          </wp:positionH>
          <wp:positionV relativeFrom="paragraph">
            <wp:posOffset>8890</wp:posOffset>
          </wp:positionV>
          <wp:extent cx="1697355" cy="1035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355" cy="1035050"/>
                  </a:xfrm>
                  <a:prstGeom prst="rect">
                    <a:avLst/>
                  </a:prstGeom>
                  <a:noFill/>
                </pic:spPr>
              </pic:pic>
            </a:graphicData>
          </a:graphic>
          <wp14:sizeRelH relativeFrom="margin">
            <wp14:pctWidth>0</wp14:pctWidth>
          </wp14:sizeRelH>
          <wp14:sizeRelV relativeFrom="margin">
            <wp14:pctHeight>0</wp14:pctHeight>
          </wp14:sizeRelV>
        </wp:anchor>
      </w:drawing>
    </w:r>
    <w:r w:rsidR="007D5355">
      <w:rPr>
        <w:noProof/>
        <w:color w:val="595959" w:themeColor="text1" w:themeTint="A6"/>
        <w:sz w:val="60"/>
        <w:szCs w:val="60"/>
      </w:rPr>
      <w:t>Press Release</w:t>
    </w:r>
  </w:p>
  <w:p w14:paraId="6C88DF6B" w14:textId="058D23BE" w:rsidR="004622D9" w:rsidRPr="00B84BCA" w:rsidRDefault="00961DC6" w:rsidP="004622D9">
    <w:pPr>
      <w:pStyle w:val="Header"/>
      <w:jc w:val="right"/>
      <w:rPr>
        <w:color w:val="808080" w:themeColor="background1" w:themeShade="80"/>
        <w:sz w:val="28"/>
        <w:szCs w:val="28"/>
      </w:rPr>
    </w:pPr>
    <w:r>
      <w:rPr>
        <w:color w:val="808080" w:themeColor="background1" w:themeShade="80"/>
        <w:sz w:val="28"/>
        <w:szCs w:val="28"/>
      </w:rPr>
      <w:t xml:space="preserve"> </w:t>
    </w:r>
    <w:r w:rsidR="000C75DC">
      <w:rPr>
        <w:color w:val="808080" w:themeColor="background1" w:themeShade="80"/>
        <w:sz w:val="28"/>
        <w:szCs w:val="28"/>
      </w:rPr>
      <w:t>15 October 2024</w:t>
    </w:r>
  </w:p>
  <w:p w14:paraId="59EFEA22" w14:textId="77777777" w:rsidR="004622D9" w:rsidRDefault="004622D9" w:rsidP="004622D9">
    <w:pPr>
      <w:pStyle w:val="Header"/>
    </w:pPr>
  </w:p>
  <w:p w14:paraId="63F5F83C" w14:textId="77777777" w:rsidR="004622D9" w:rsidRPr="00C6451B" w:rsidRDefault="004622D9" w:rsidP="004622D9">
    <w:pPr>
      <w:tabs>
        <w:tab w:val="center" w:pos="4153"/>
        <w:tab w:val="right" w:pos="8306"/>
      </w:tabs>
      <w:rPr>
        <w:color w:val="ACD143"/>
      </w:rPr>
    </w:pPr>
  </w:p>
  <w:p w14:paraId="6E41067D" w14:textId="3A4C52A6" w:rsidR="004622D9" w:rsidRDefault="00325FAE" w:rsidP="004622D9">
    <w:pPr>
      <w:pStyle w:val="Header"/>
    </w:pPr>
    <w:r>
      <w:rPr>
        <w:noProof/>
        <w:color w:val="ACD143"/>
      </w:rPr>
      <mc:AlternateContent>
        <mc:Choice Requires="wps">
          <w:drawing>
            <wp:anchor distT="0" distB="0" distL="114300" distR="114300" simplePos="0" relativeHeight="251658241" behindDoc="0" locked="0" layoutInCell="1" allowOverlap="1" wp14:anchorId="25898935" wp14:editId="77C95200">
              <wp:simplePos x="0" y="0"/>
              <wp:positionH relativeFrom="column">
                <wp:posOffset>-31750</wp:posOffset>
              </wp:positionH>
              <wp:positionV relativeFrom="page">
                <wp:posOffset>1714500</wp:posOffset>
              </wp:positionV>
              <wp:extent cx="66992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699250" cy="0"/>
                      </a:xfrm>
                      <a:prstGeom prst="line">
                        <a:avLst/>
                      </a:prstGeom>
                      <a:ln w="15875" cap="rnd">
                        <a:solidFill>
                          <a:srgbClr val="C4D6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A25D6"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pt,135pt" to="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" strokecolor="#c4d600" strokeweight="1.25pt">
              <v:stroke endcap="round"/>
              <w10:wrap anchory="page"/>
            </v:line>
          </w:pict>
        </mc:Fallback>
      </mc:AlternateContent>
    </w:r>
  </w:p>
  <w:p w14:paraId="49162205" w14:textId="31DB049A" w:rsidR="004622D9" w:rsidRDefault="00462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CC35BE"/>
    <w:multiLevelType w:val="hybridMultilevel"/>
    <w:tmpl w:val="50287E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481C190E"/>
    <w:multiLevelType w:val="hybridMultilevel"/>
    <w:tmpl w:val="454015D0"/>
    <w:lvl w:ilvl="0" w:tplc="0792DB44">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893390392">
    <w:abstractNumId w:val="0"/>
  </w:num>
  <w:num w:numId="2" w16cid:durableId="29376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2D9"/>
    <w:rsid w:val="00002DC6"/>
    <w:rsid w:val="000058C0"/>
    <w:rsid w:val="000135B8"/>
    <w:rsid w:val="000166EB"/>
    <w:rsid w:val="00021562"/>
    <w:rsid w:val="000227D2"/>
    <w:rsid w:val="00023B00"/>
    <w:rsid w:val="00027F59"/>
    <w:rsid w:val="0003296A"/>
    <w:rsid w:val="00033C4B"/>
    <w:rsid w:val="000435CE"/>
    <w:rsid w:val="00044FD6"/>
    <w:rsid w:val="00046E13"/>
    <w:rsid w:val="0005099D"/>
    <w:rsid w:val="00051506"/>
    <w:rsid w:val="00055CA7"/>
    <w:rsid w:val="00055FD6"/>
    <w:rsid w:val="00056F09"/>
    <w:rsid w:val="0006013A"/>
    <w:rsid w:val="000629FC"/>
    <w:rsid w:val="000705B6"/>
    <w:rsid w:val="00070CF3"/>
    <w:rsid w:val="00072AFD"/>
    <w:rsid w:val="00073563"/>
    <w:rsid w:val="00075183"/>
    <w:rsid w:val="000754EA"/>
    <w:rsid w:val="000758A4"/>
    <w:rsid w:val="0008282F"/>
    <w:rsid w:val="000871B3"/>
    <w:rsid w:val="000875E1"/>
    <w:rsid w:val="00087FC8"/>
    <w:rsid w:val="000906AF"/>
    <w:rsid w:val="000909F0"/>
    <w:rsid w:val="000956BC"/>
    <w:rsid w:val="000A2548"/>
    <w:rsid w:val="000B163C"/>
    <w:rsid w:val="000B20E1"/>
    <w:rsid w:val="000B3D83"/>
    <w:rsid w:val="000B4F59"/>
    <w:rsid w:val="000C0637"/>
    <w:rsid w:val="000C0694"/>
    <w:rsid w:val="000C0749"/>
    <w:rsid w:val="000C53C1"/>
    <w:rsid w:val="000C75DC"/>
    <w:rsid w:val="000D398D"/>
    <w:rsid w:val="000D4679"/>
    <w:rsid w:val="000D72C0"/>
    <w:rsid w:val="000E0BA2"/>
    <w:rsid w:val="000E5525"/>
    <w:rsid w:val="000E7040"/>
    <w:rsid w:val="000F0FD3"/>
    <w:rsid w:val="000F209C"/>
    <w:rsid w:val="000F2EDB"/>
    <w:rsid w:val="000F4BB9"/>
    <w:rsid w:val="000F57AF"/>
    <w:rsid w:val="00100570"/>
    <w:rsid w:val="00104FA3"/>
    <w:rsid w:val="00107851"/>
    <w:rsid w:val="00112B22"/>
    <w:rsid w:val="001133DC"/>
    <w:rsid w:val="00121829"/>
    <w:rsid w:val="00124710"/>
    <w:rsid w:val="0012610C"/>
    <w:rsid w:val="00131754"/>
    <w:rsid w:val="0013178C"/>
    <w:rsid w:val="00134DCF"/>
    <w:rsid w:val="00134EAE"/>
    <w:rsid w:val="00137CC1"/>
    <w:rsid w:val="0014095D"/>
    <w:rsid w:val="00142D41"/>
    <w:rsid w:val="00144A97"/>
    <w:rsid w:val="00145BF5"/>
    <w:rsid w:val="00152EAF"/>
    <w:rsid w:val="0016148D"/>
    <w:rsid w:val="00164656"/>
    <w:rsid w:val="001647AF"/>
    <w:rsid w:val="001647F1"/>
    <w:rsid w:val="00167C55"/>
    <w:rsid w:val="001727BA"/>
    <w:rsid w:val="00173F7E"/>
    <w:rsid w:val="00177785"/>
    <w:rsid w:val="00177912"/>
    <w:rsid w:val="00180FA9"/>
    <w:rsid w:val="00184845"/>
    <w:rsid w:val="001877CB"/>
    <w:rsid w:val="00191C73"/>
    <w:rsid w:val="00191DEC"/>
    <w:rsid w:val="00194DC6"/>
    <w:rsid w:val="00195100"/>
    <w:rsid w:val="00196B3B"/>
    <w:rsid w:val="0019778F"/>
    <w:rsid w:val="001A10D1"/>
    <w:rsid w:val="001A4703"/>
    <w:rsid w:val="001A6245"/>
    <w:rsid w:val="001B41D1"/>
    <w:rsid w:val="001B502F"/>
    <w:rsid w:val="001C2CD1"/>
    <w:rsid w:val="001C3DF0"/>
    <w:rsid w:val="001C7792"/>
    <w:rsid w:val="001D0749"/>
    <w:rsid w:val="001D19E5"/>
    <w:rsid w:val="001D1C82"/>
    <w:rsid w:val="001D3B81"/>
    <w:rsid w:val="001D56FF"/>
    <w:rsid w:val="001D7247"/>
    <w:rsid w:val="001D7917"/>
    <w:rsid w:val="001E09DF"/>
    <w:rsid w:val="001E15E2"/>
    <w:rsid w:val="001E7130"/>
    <w:rsid w:val="001F0D87"/>
    <w:rsid w:val="001F2FA5"/>
    <w:rsid w:val="001F3AE2"/>
    <w:rsid w:val="001F40E1"/>
    <w:rsid w:val="001F6CDF"/>
    <w:rsid w:val="00204B87"/>
    <w:rsid w:val="00205870"/>
    <w:rsid w:val="002069C9"/>
    <w:rsid w:val="0020718B"/>
    <w:rsid w:val="002103ED"/>
    <w:rsid w:val="00210AA3"/>
    <w:rsid w:val="00214B41"/>
    <w:rsid w:val="00214BDE"/>
    <w:rsid w:val="002236C4"/>
    <w:rsid w:val="0022382B"/>
    <w:rsid w:val="0022712F"/>
    <w:rsid w:val="00227966"/>
    <w:rsid w:val="00232B84"/>
    <w:rsid w:val="00237381"/>
    <w:rsid w:val="00237B81"/>
    <w:rsid w:val="00237BF4"/>
    <w:rsid w:val="0025034E"/>
    <w:rsid w:val="00250BB6"/>
    <w:rsid w:val="002510EF"/>
    <w:rsid w:val="00252383"/>
    <w:rsid w:val="00253B7C"/>
    <w:rsid w:val="00254417"/>
    <w:rsid w:val="00254A43"/>
    <w:rsid w:val="00254E22"/>
    <w:rsid w:val="0025541E"/>
    <w:rsid w:val="00256417"/>
    <w:rsid w:val="0025667E"/>
    <w:rsid w:val="00262976"/>
    <w:rsid w:val="002640D7"/>
    <w:rsid w:val="00265C8A"/>
    <w:rsid w:val="002701B4"/>
    <w:rsid w:val="00273141"/>
    <w:rsid w:val="00275337"/>
    <w:rsid w:val="00276498"/>
    <w:rsid w:val="002776E1"/>
    <w:rsid w:val="002824AF"/>
    <w:rsid w:val="00282A8B"/>
    <w:rsid w:val="00283EC3"/>
    <w:rsid w:val="00291B19"/>
    <w:rsid w:val="0029250F"/>
    <w:rsid w:val="00294DC9"/>
    <w:rsid w:val="00295161"/>
    <w:rsid w:val="00296129"/>
    <w:rsid w:val="002975B7"/>
    <w:rsid w:val="00297711"/>
    <w:rsid w:val="002A0BAE"/>
    <w:rsid w:val="002A0C88"/>
    <w:rsid w:val="002A4180"/>
    <w:rsid w:val="002A44C2"/>
    <w:rsid w:val="002A4679"/>
    <w:rsid w:val="002B012A"/>
    <w:rsid w:val="002B5DE7"/>
    <w:rsid w:val="002B5E1F"/>
    <w:rsid w:val="002B6B66"/>
    <w:rsid w:val="002B713F"/>
    <w:rsid w:val="002B7A12"/>
    <w:rsid w:val="002C01FA"/>
    <w:rsid w:val="002C246C"/>
    <w:rsid w:val="002C25EA"/>
    <w:rsid w:val="002C296E"/>
    <w:rsid w:val="002C354D"/>
    <w:rsid w:val="002C716E"/>
    <w:rsid w:val="002D2FFC"/>
    <w:rsid w:val="002D3AB6"/>
    <w:rsid w:val="002D51A8"/>
    <w:rsid w:val="002D6439"/>
    <w:rsid w:val="002D7284"/>
    <w:rsid w:val="002E27C9"/>
    <w:rsid w:val="002E538F"/>
    <w:rsid w:val="002F2A7D"/>
    <w:rsid w:val="002F3FC1"/>
    <w:rsid w:val="002F52C7"/>
    <w:rsid w:val="002F738A"/>
    <w:rsid w:val="002F75F7"/>
    <w:rsid w:val="003029BD"/>
    <w:rsid w:val="00306FCC"/>
    <w:rsid w:val="00312220"/>
    <w:rsid w:val="0032054C"/>
    <w:rsid w:val="00323629"/>
    <w:rsid w:val="00325FAE"/>
    <w:rsid w:val="003304A2"/>
    <w:rsid w:val="00340134"/>
    <w:rsid w:val="003403F0"/>
    <w:rsid w:val="00341428"/>
    <w:rsid w:val="00341B9E"/>
    <w:rsid w:val="0034226A"/>
    <w:rsid w:val="0034267B"/>
    <w:rsid w:val="00343347"/>
    <w:rsid w:val="003455AB"/>
    <w:rsid w:val="00351E52"/>
    <w:rsid w:val="0035351F"/>
    <w:rsid w:val="00360982"/>
    <w:rsid w:val="00364896"/>
    <w:rsid w:val="00370282"/>
    <w:rsid w:val="00371D83"/>
    <w:rsid w:val="0037318A"/>
    <w:rsid w:val="003757C9"/>
    <w:rsid w:val="00376F6F"/>
    <w:rsid w:val="0038351D"/>
    <w:rsid w:val="003879F9"/>
    <w:rsid w:val="003910B7"/>
    <w:rsid w:val="00392370"/>
    <w:rsid w:val="00395631"/>
    <w:rsid w:val="00396271"/>
    <w:rsid w:val="003974EF"/>
    <w:rsid w:val="003A09D0"/>
    <w:rsid w:val="003A2701"/>
    <w:rsid w:val="003A38A6"/>
    <w:rsid w:val="003A5994"/>
    <w:rsid w:val="003B6621"/>
    <w:rsid w:val="003B77B1"/>
    <w:rsid w:val="003C7759"/>
    <w:rsid w:val="003D5374"/>
    <w:rsid w:val="003D7F32"/>
    <w:rsid w:val="003E1727"/>
    <w:rsid w:val="003E1F45"/>
    <w:rsid w:val="003E30C0"/>
    <w:rsid w:val="003E314F"/>
    <w:rsid w:val="003E44D5"/>
    <w:rsid w:val="003E5FF1"/>
    <w:rsid w:val="003E7822"/>
    <w:rsid w:val="003F0E71"/>
    <w:rsid w:val="003F2273"/>
    <w:rsid w:val="003F2F0D"/>
    <w:rsid w:val="003F393A"/>
    <w:rsid w:val="00403279"/>
    <w:rsid w:val="004038D2"/>
    <w:rsid w:val="004039DE"/>
    <w:rsid w:val="00404313"/>
    <w:rsid w:val="00405E2F"/>
    <w:rsid w:val="0040690F"/>
    <w:rsid w:val="00416ACD"/>
    <w:rsid w:val="00423D81"/>
    <w:rsid w:val="00423E1C"/>
    <w:rsid w:val="00425779"/>
    <w:rsid w:val="0043052C"/>
    <w:rsid w:val="004327B4"/>
    <w:rsid w:val="004330E0"/>
    <w:rsid w:val="00440360"/>
    <w:rsid w:val="00445D2F"/>
    <w:rsid w:val="00446149"/>
    <w:rsid w:val="004467A4"/>
    <w:rsid w:val="00446DBF"/>
    <w:rsid w:val="00447437"/>
    <w:rsid w:val="00452497"/>
    <w:rsid w:val="00454FEF"/>
    <w:rsid w:val="004622D9"/>
    <w:rsid w:val="00465E71"/>
    <w:rsid w:val="00471F68"/>
    <w:rsid w:val="00474908"/>
    <w:rsid w:val="00475234"/>
    <w:rsid w:val="00475D11"/>
    <w:rsid w:val="00476501"/>
    <w:rsid w:val="0047766E"/>
    <w:rsid w:val="00485D66"/>
    <w:rsid w:val="004938A8"/>
    <w:rsid w:val="0049647B"/>
    <w:rsid w:val="004A0FB3"/>
    <w:rsid w:val="004A2A9E"/>
    <w:rsid w:val="004A34B5"/>
    <w:rsid w:val="004A7835"/>
    <w:rsid w:val="004B18C9"/>
    <w:rsid w:val="004B754F"/>
    <w:rsid w:val="004C184D"/>
    <w:rsid w:val="004C23FD"/>
    <w:rsid w:val="004C2BF1"/>
    <w:rsid w:val="004C54C7"/>
    <w:rsid w:val="004C6E74"/>
    <w:rsid w:val="004C7FCC"/>
    <w:rsid w:val="004D6AE0"/>
    <w:rsid w:val="004D780E"/>
    <w:rsid w:val="004E4F8C"/>
    <w:rsid w:val="004E5737"/>
    <w:rsid w:val="004E79A9"/>
    <w:rsid w:val="004E7DB4"/>
    <w:rsid w:val="004F1C37"/>
    <w:rsid w:val="004F46F5"/>
    <w:rsid w:val="004F5738"/>
    <w:rsid w:val="004F768A"/>
    <w:rsid w:val="00503038"/>
    <w:rsid w:val="0050350E"/>
    <w:rsid w:val="00505894"/>
    <w:rsid w:val="00507D0C"/>
    <w:rsid w:val="0051196A"/>
    <w:rsid w:val="005134AF"/>
    <w:rsid w:val="00516469"/>
    <w:rsid w:val="005178EC"/>
    <w:rsid w:val="0052241B"/>
    <w:rsid w:val="00524F3C"/>
    <w:rsid w:val="005306AD"/>
    <w:rsid w:val="005319F3"/>
    <w:rsid w:val="0053447A"/>
    <w:rsid w:val="00536D86"/>
    <w:rsid w:val="005376E4"/>
    <w:rsid w:val="00540E01"/>
    <w:rsid w:val="005444FB"/>
    <w:rsid w:val="00545524"/>
    <w:rsid w:val="00552F51"/>
    <w:rsid w:val="00553858"/>
    <w:rsid w:val="00554FD0"/>
    <w:rsid w:val="005603CE"/>
    <w:rsid w:val="00563869"/>
    <w:rsid w:val="00565C85"/>
    <w:rsid w:val="00565FEE"/>
    <w:rsid w:val="00573677"/>
    <w:rsid w:val="00574B49"/>
    <w:rsid w:val="00577645"/>
    <w:rsid w:val="00580256"/>
    <w:rsid w:val="00583540"/>
    <w:rsid w:val="005841CB"/>
    <w:rsid w:val="00585712"/>
    <w:rsid w:val="00585BCC"/>
    <w:rsid w:val="0058723A"/>
    <w:rsid w:val="0058738E"/>
    <w:rsid w:val="005941A6"/>
    <w:rsid w:val="00596EE1"/>
    <w:rsid w:val="005B1670"/>
    <w:rsid w:val="005B4217"/>
    <w:rsid w:val="005B4AD3"/>
    <w:rsid w:val="005B4C5A"/>
    <w:rsid w:val="005B7ABC"/>
    <w:rsid w:val="005C668E"/>
    <w:rsid w:val="005D3A8B"/>
    <w:rsid w:val="005D416F"/>
    <w:rsid w:val="005D4CC0"/>
    <w:rsid w:val="005D6931"/>
    <w:rsid w:val="005E688B"/>
    <w:rsid w:val="005E6D73"/>
    <w:rsid w:val="005F084F"/>
    <w:rsid w:val="005F1FDA"/>
    <w:rsid w:val="005F3FC5"/>
    <w:rsid w:val="005F4C7A"/>
    <w:rsid w:val="00604192"/>
    <w:rsid w:val="00605E88"/>
    <w:rsid w:val="0061037C"/>
    <w:rsid w:val="0061215D"/>
    <w:rsid w:val="00613DFC"/>
    <w:rsid w:val="00617DAE"/>
    <w:rsid w:val="0062124A"/>
    <w:rsid w:val="006301E1"/>
    <w:rsid w:val="006314EA"/>
    <w:rsid w:val="0063338F"/>
    <w:rsid w:val="00635931"/>
    <w:rsid w:val="00635A8E"/>
    <w:rsid w:val="00637A74"/>
    <w:rsid w:val="00641C85"/>
    <w:rsid w:val="00644B08"/>
    <w:rsid w:val="00645490"/>
    <w:rsid w:val="00646F3D"/>
    <w:rsid w:val="00652FC0"/>
    <w:rsid w:val="00660C03"/>
    <w:rsid w:val="00664023"/>
    <w:rsid w:val="00665449"/>
    <w:rsid w:val="00666805"/>
    <w:rsid w:val="00667386"/>
    <w:rsid w:val="00667443"/>
    <w:rsid w:val="006705AB"/>
    <w:rsid w:val="00681841"/>
    <w:rsid w:val="006845F2"/>
    <w:rsid w:val="00692C76"/>
    <w:rsid w:val="00692D29"/>
    <w:rsid w:val="006A1F63"/>
    <w:rsid w:val="006A405C"/>
    <w:rsid w:val="006A6326"/>
    <w:rsid w:val="006B00E3"/>
    <w:rsid w:val="006B5970"/>
    <w:rsid w:val="006B7D03"/>
    <w:rsid w:val="006C708B"/>
    <w:rsid w:val="006D0C1B"/>
    <w:rsid w:val="006D40D1"/>
    <w:rsid w:val="006E2B6A"/>
    <w:rsid w:val="006E586C"/>
    <w:rsid w:val="006E6D5A"/>
    <w:rsid w:val="006E7DDB"/>
    <w:rsid w:val="006F43F2"/>
    <w:rsid w:val="00700953"/>
    <w:rsid w:val="00703627"/>
    <w:rsid w:val="00704009"/>
    <w:rsid w:val="00707B72"/>
    <w:rsid w:val="007127F7"/>
    <w:rsid w:val="00713C76"/>
    <w:rsid w:val="00713D26"/>
    <w:rsid w:val="00721EC0"/>
    <w:rsid w:val="007322A7"/>
    <w:rsid w:val="007326C5"/>
    <w:rsid w:val="007338EA"/>
    <w:rsid w:val="00737B04"/>
    <w:rsid w:val="0074344B"/>
    <w:rsid w:val="00743752"/>
    <w:rsid w:val="00743C0C"/>
    <w:rsid w:val="0074761F"/>
    <w:rsid w:val="007512E7"/>
    <w:rsid w:val="0075472D"/>
    <w:rsid w:val="0075501A"/>
    <w:rsid w:val="007557EC"/>
    <w:rsid w:val="00757C41"/>
    <w:rsid w:val="00757C54"/>
    <w:rsid w:val="00763720"/>
    <w:rsid w:val="00764BF7"/>
    <w:rsid w:val="00765C1E"/>
    <w:rsid w:val="00770B75"/>
    <w:rsid w:val="00774CC9"/>
    <w:rsid w:val="007750C7"/>
    <w:rsid w:val="007763C6"/>
    <w:rsid w:val="007819A0"/>
    <w:rsid w:val="0078460E"/>
    <w:rsid w:val="00787AB0"/>
    <w:rsid w:val="00790C82"/>
    <w:rsid w:val="0079106E"/>
    <w:rsid w:val="00795C04"/>
    <w:rsid w:val="00796DD4"/>
    <w:rsid w:val="007A18CC"/>
    <w:rsid w:val="007A7120"/>
    <w:rsid w:val="007A722E"/>
    <w:rsid w:val="007A7820"/>
    <w:rsid w:val="007B1AEF"/>
    <w:rsid w:val="007B2058"/>
    <w:rsid w:val="007B272E"/>
    <w:rsid w:val="007B4877"/>
    <w:rsid w:val="007C03FB"/>
    <w:rsid w:val="007C2E51"/>
    <w:rsid w:val="007C4768"/>
    <w:rsid w:val="007C7384"/>
    <w:rsid w:val="007C75A8"/>
    <w:rsid w:val="007C7816"/>
    <w:rsid w:val="007C7BBA"/>
    <w:rsid w:val="007D0E40"/>
    <w:rsid w:val="007D11E5"/>
    <w:rsid w:val="007D5355"/>
    <w:rsid w:val="007E0659"/>
    <w:rsid w:val="007E78AB"/>
    <w:rsid w:val="007F3675"/>
    <w:rsid w:val="007F3996"/>
    <w:rsid w:val="008026EB"/>
    <w:rsid w:val="00805594"/>
    <w:rsid w:val="00806695"/>
    <w:rsid w:val="00810853"/>
    <w:rsid w:val="00810B16"/>
    <w:rsid w:val="008142E8"/>
    <w:rsid w:val="00814A00"/>
    <w:rsid w:val="00814F62"/>
    <w:rsid w:val="008249ED"/>
    <w:rsid w:val="00824A0F"/>
    <w:rsid w:val="00826744"/>
    <w:rsid w:val="0083182A"/>
    <w:rsid w:val="00834097"/>
    <w:rsid w:val="00837923"/>
    <w:rsid w:val="00837F99"/>
    <w:rsid w:val="00840DD2"/>
    <w:rsid w:val="008418D3"/>
    <w:rsid w:val="00841C9E"/>
    <w:rsid w:val="00844ACD"/>
    <w:rsid w:val="00847247"/>
    <w:rsid w:val="00847474"/>
    <w:rsid w:val="00847AC8"/>
    <w:rsid w:val="008503CD"/>
    <w:rsid w:val="00851021"/>
    <w:rsid w:val="00854377"/>
    <w:rsid w:val="0086034E"/>
    <w:rsid w:val="00863F6B"/>
    <w:rsid w:val="00865171"/>
    <w:rsid w:val="00871DB8"/>
    <w:rsid w:val="00873C17"/>
    <w:rsid w:val="008749BA"/>
    <w:rsid w:val="00876692"/>
    <w:rsid w:val="00883A79"/>
    <w:rsid w:val="00892055"/>
    <w:rsid w:val="008A0BA9"/>
    <w:rsid w:val="008A210A"/>
    <w:rsid w:val="008A3512"/>
    <w:rsid w:val="008B0FE2"/>
    <w:rsid w:val="008B1959"/>
    <w:rsid w:val="008B23BA"/>
    <w:rsid w:val="008B6D96"/>
    <w:rsid w:val="008C3FB5"/>
    <w:rsid w:val="008C4D6E"/>
    <w:rsid w:val="008C59FC"/>
    <w:rsid w:val="008C7341"/>
    <w:rsid w:val="008D0ECE"/>
    <w:rsid w:val="008D2E2F"/>
    <w:rsid w:val="008E0AE8"/>
    <w:rsid w:val="008E15CB"/>
    <w:rsid w:val="008E30A0"/>
    <w:rsid w:val="008F0069"/>
    <w:rsid w:val="008F0BBB"/>
    <w:rsid w:val="008F7233"/>
    <w:rsid w:val="00902B9E"/>
    <w:rsid w:val="0090381F"/>
    <w:rsid w:val="00903D6A"/>
    <w:rsid w:val="00907201"/>
    <w:rsid w:val="009125E6"/>
    <w:rsid w:val="0091481B"/>
    <w:rsid w:val="00916663"/>
    <w:rsid w:val="009236EB"/>
    <w:rsid w:val="009260F1"/>
    <w:rsid w:val="00931D15"/>
    <w:rsid w:val="00936A0F"/>
    <w:rsid w:val="009407C4"/>
    <w:rsid w:val="0094383D"/>
    <w:rsid w:val="00943DEA"/>
    <w:rsid w:val="00946783"/>
    <w:rsid w:val="00947AF2"/>
    <w:rsid w:val="009527C2"/>
    <w:rsid w:val="00961DA4"/>
    <w:rsid w:val="00961DC6"/>
    <w:rsid w:val="00963B56"/>
    <w:rsid w:val="00967E08"/>
    <w:rsid w:val="0097262B"/>
    <w:rsid w:val="00972B02"/>
    <w:rsid w:val="009732B8"/>
    <w:rsid w:val="00977E46"/>
    <w:rsid w:val="009800E6"/>
    <w:rsid w:val="00983549"/>
    <w:rsid w:val="009931C5"/>
    <w:rsid w:val="00997CFF"/>
    <w:rsid w:val="009A240F"/>
    <w:rsid w:val="009B0088"/>
    <w:rsid w:val="009B5392"/>
    <w:rsid w:val="009B6411"/>
    <w:rsid w:val="009C0096"/>
    <w:rsid w:val="009C0721"/>
    <w:rsid w:val="009C566F"/>
    <w:rsid w:val="009C726C"/>
    <w:rsid w:val="009D40ED"/>
    <w:rsid w:val="009E28A2"/>
    <w:rsid w:val="009E30A1"/>
    <w:rsid w:val="009E3180"/>
    <w:rsid w:val="009E6468"/>
    <w:rsid w:val="009E6BC0"/>
    <w:rsid w:val="009F4E2B"/>
    <w:rsid w:val="00A0050D"/>
    <w:rsid w:val="00A02217"/>
    <w:rsid w:val="00A02DDA"/>
    <w:rsid w:val="00A03A23"/>
    <w:rsid w:val="00A06C37"/>
    <w:rsid w:val="00A17BB6"/>
    <w:rsid w:val="00A20C24"/>
    <w:rsid w:val="00A22605"/>
    <w:rsid w:val="00A231D4"/>
    <w:rsid w:val="00A235B3"/>
    <w:rsid w:val="00A2377A"/>
    <w:rsid w:val="00A2547B"/>
    <w:rsid w:val="00A44716"/>
    <w:rsid w:val="00A47759"/>
    <w:rsid w:val="00A50563"/>
    <w:rsid w:val="00A52D0D"/>
    <w:rsid w:val="00A57A72"/>
    <w:rsid w:val="00A6163F"/>
    <w:rsid w:val="00A61D12"/>
    <w:rsid w:val="00A61FCB"/>
    <w:rsid w:val="00A62E51"/>
    <w:rsid w:val="00A65322"/>
    <w:rsid w:val="00A65D3E"/>
    <w:rsid w:val="00A731EB"/>
    <w:rsid w:val="00A75657"/>
    <w:rsid w:val="00A75DFD"/>
    <w:rsid w:val="00A77060"/>
    <w:rsid w:val="00A82C9C"/>
    <w:rsid w:val="00A853A9"/>
    <w:rsid w:val="00A8656F"/>
    <w:rsid w:val="00A90EAE"/>
    <w:rsid w:val="00A9296A"/>
    <w:rsid w:val="00A93D2B"/>
    <w:rsid w:val="00A96039"/>
    <w:rsid w:val="00A96A84"/>
    <w:rsid w:val="00A97114"/>
    <w:rsid w:val="00AA099B"/>
    <w:rsid w:val="00AA282A"/>
    <w:rsid w:val="00AA2A6B"/>
    <w:rsid w:val="00AA2A7F"/>
    <w:rsid w:val="00AA3848"/>
    <w:rsid w:val="00AA4A05"/>
    <w:rsid w:val="00AA7205"/>
    <w:rsid w:val="00AB1CFE"/>
    <w:rsid w:val="00AB5583"/>
    <w:rsid w:val="00AC27B4"/>
    <w:rsid w:val="00AC6263"/>
    <w:rsid w:val="00AC7037"/>
    <w:rsid w:val="00AD3C2E"/>
    <w:rsid w:val="00AD76F5"/>
    <w:rsid w:val="00AE1090"/>
    <w:rsid w:val="00AE227A"/>
    <w:rsid w:val="00AE739E"/>
    <w:rsid w:val="00AE7C6D"/>
    <w:rsid w:val="00AF2AC9"/>
    <w:rsid w:val="00AF5849"/>
    <w:rsid w:val="00B05DAD"/>
    <w:rsid w:val="00B14C05"/>
    <w:rsid w:val="00B14FA1"/>
    <w:rsid w:val="00B259FF"/>
    <w:rsid w:val="00B25F4E"/>
    <w:rsid w:val="00B27202"/>
    <w:rsid w:val="00B30DE5"/>
    <w:rsid w:val="00B325A3"/>
    <w:rsid w:val="00B33B85"/>
    <w:rsid w:val="00B4555F"/>
    <w:rsid w:val="00B4625E"/>
    <w:rsid w:val="00B51D8A"/>
    <w:rsid w:val="00B6592F"/>
    <w:rsid w:val="00B71B65"/>
    <w:rsid w:val="00B72605"/>
    <w:rsid w:val="00B76ADC"/>
    <w:rsid w:val="00B80E37"/>
    <w:rsid w:val="00B83AA7"/>
    <w:rsid w:val="00B840F8"/>
    <w:rsid w:val="00B8458C"/>
    <w:rsid w:val="00B91E89"/>
    <w:rsid w:val="00B91EA6"/>
    <w:rsid w:val="00B92096"/>
    <w:rsid w:val="00B9341B"/>
    <w:rsid w:val="00B94909"/>
    <w:rsid w:val="00BA048E"/>
    <w:rsid w:val="00BA0B4B"/>
    <w:rsid w:val="00BA0F59"/>
    <w:rsid w:val="00BA533A"/>
    <w:rsid w:val="00BA53D2"/>
    <w:rsid w:val="00BB3451"/>
    <w:rsid w:val="00BB4583"/>
    <w:rsid w:val="00BB630F"/>
    <w:rsid w:val="00BC13B2"/>
    <w:rsid w:val="00BC3997"/>
    <w:rsid w:val="00BC4BAE"/>
    <w:rsid w:val="00BC4E6D"/>
    <w:rsid w:val="00BD142A"/>
    <w:rsid w:val="00BD4D80"/>
    <w:rsid w:val="00BE00C0"/>
    <w:rsid w:val="00BE1D2C"/>
    <w:rsid w:val="00BE2927"/>
    <w:rsid w:val="00BE3D20"/>
    <w:rsid w:val="00BE649C"/>
    <w:rsid w:val="00BE7322"/>
    <w:rsid w:val="00BF0871"/>
    <w:rsid w:val="00BF206E"/>
    <w:rsid w:val="00BF239E"/>
    <w:rsid w:val="00BF2FA3"/>
    <w:rsid w:val="00BF317C"/>
    <w:rsid w:val="00BF4282"/>
    <w:rsid w:val="00C02618"/>
    <w:rsid w:val="00C15367"/>
    <w:rsid w:val="00C17FDC"/>
    <w:rsid w:val="00C2428B"/>
    <w:rsid w:val="00C24846"/>
    <w:rsid w:val="00C25527"/>
    <w:rsid w:val="00C27A9C"/>
    <w:rsid w:val="00C27EF8"/>
    <w:rsid w:val="00C34884"/>
    <w:rsid w:val="00C35875"/>
    <w:rsid w:val="00C4676B"/>
    <w:rsid w:val="00C46CE8"/>
    <w:rsid w:val="00C51389"/>
    <w:rsid w:val="00C51AAC"/>
    <w:rsid w:val="00C53424"/>
    <w:rsid w:val="00C541A4"/>
    <w:rsid w:val="00C55900"/>
    <w:rsid w:val="00C56250"/>
    <w:rsid w:val="00C61EDF"/>
    <w:rsid w:val="00C66111"/>
    <w:rsid w:val="00C75DA1"/>
    <w:rsid w:val="00C81069"/>
    <w:rsid w:val="00C8159C"/>
    <w:rsid w:val="00C84B9D"/>
    <w:rsid w:val="00C92BF1"/>
    <w:rsid w:val="00C93DB8"/>
    <w:rsid w:val="00C96E2A"/>
    <w:rsid w:val="00C97EFC"/>
    <w:rsid w:val="00CA3431"/>
    <w:rsid w:val="00CB31E3"/>
    <w:rsid w:val="00CC005D"/>
    <w:rsid w:val="00CC13D2"/>
    <w:rsid w:val="00CC2885"/>
    <w:rsid w:val="00CC2CC8"/>
    <w:rsid w:val="00CD03F5"/>
    <w:rsid w:val="00CD0D27"/>
    <w:rsid w:val="00CD13D1"/>
    <w:rsid w:val="00CD1CEA"/>
    <w:rsid w:val="00CD667C"/>
    <w:rsid w:val="00CF2192"/>
    <w:rsid w:val="00CF3ED1"/>
    <w:rsid w:val="00CF5855"/>
    <w:rsid w:val="00CF5F2B"/>
    <w:rsid w:val="00CF638D"/>
    <w:rsid w:val="00D11943"/>
    <w:rsid w:val="00D16CE4"/>
    <w:rsid w:val="00D23898"/>
    <w:rsid w:val="00D2445A"/>
    <w:rsid w:val="00D2456E"/>
    <w:rsid w:val="00D24631"/>
    <w:rsid w:val="00D347CD"/>
    <w:rsid w:val="00D34F84"/>
    <w:rsid w:val="00D42CED"/>
    <w:rsid w:val="00D43573"/>
    <w:rsid w:val="00D57343"/>
    <w:rsid w:val="00D61A30"/>
    <w:rsid w:val="00D61C36"/>
    <w:rsid w:val="00D62B7B"/>
    <w:rsid w:val="00D65A26"/>
    <w:rsid w:val="00D65B2F"/>
    <w:rsid w:val="00D66DEB"/>
    <w:rsid w:val="00D743DD"/>
    <w:rsid w:val="00D74DE3"/>
    <w:rsid w:val="00D75999"/>
    <w:rsid w:val="00D7662C"/>
    <w:rsid w:val="00D8033C"/>
    <w:rsid w:val="00D82953"/>
    <w:rsid w:val="00D865F1"/>
    <w:rsid w:val="00D92585"/>
    <w:rsid w:val="00D93DFE"/>
    <w:rsid w:val="00D94A96"/>
    <w:rsid w:val="00D9568C"/>
    <w:rsid w:val="00D96833"/>
    <w:rsid w:val="00DA5809"/>
    <w:rsid w:val="00DA5F76"/>
    <w:rsid w:val="00DA7718"/>
    <w:rsid w:val="00DB2FCC"/>
    <w:rsid w:val="00DB4BBA"/>
    <w:rsid w:val="00DB65D7"/>
    <w:rsid w:val="00DC00B2"/>
    <w:rsid w:val="00DC05A4"/>
    <w:rsid w:val="00DC06CE"/>
    <w:rsid w:val="00DC1FEA"/>
    <w:rsid w:val="00DD093B"/>
    <w:rsid w:val="00DD34CD"/>
    <w:rsid w:val="00DD442E"/>
    <w:rsid w:val="00DD6B6D"/>
    <w:rsid w:val="00DD7039"/>
    <w:rsid w:val="00DD7379"/>
    <w:rsid w:val="00DE0B3D"/>
    <w:rsid w:val="00DE5F4E"/>
    <w:rsid w:val="00DE7781"/>
    <w:rsid w:val="00DF184B"/>
    <w:rsid w:val="00DF3F19"/>
    <w:rsid w:val="00DF6434"/>
    <w:rsid w:val="00E00048"/>
    <w:rsid w:val="00E02887"/>
    <w:rsid w:val="00E02B58"/>
    <w:rsid w:val="00E05549"/>
    <w:rsid w:val="00E06822"/>
    <w:rsid w:val="00E07D05"/>
    <w:rsid w:val="00E10FCA"/>
    <w:rsid w:val="00E17138"/>
    <w:rsid w:val="00E20C57"/>
    <w:rsid w:val="00E21D76"/>
    <w:rsid w:val="00E21DF3"/>
    <w:rsid w:val="00E251EF"/>
    <w:rsid w:val="00E27B96"/>
    <w:rsid w:val="00E308E7"/>
    <w:rsid w:val="00E3112B"/>
    <w:rsid w:val="00E43680"/>
    <w:rsid w:val="00E5291D"/>
    <w:rsid w:val="00E54342"/>
    <w:rsid w:val="00E55505"/>
    <w:rsid w:val="00E65108"/>
    <w:rsid w:val="00E66853"/>
    <w:rsid w:val="00E70C6C"/>
    <w:rsid w:val="00E730E3"/>
    <w:rsid w:val="00E73D92"/>
    <w:rsid w:val="00E77D28"/>
    <w:rsid w:val="00E816BE"/>
    <w:rsid w:val="00E84671"/>
    <w:rsid w:val="00E852BC"/>
    <w:rsid w:val="00E86F9D"/>
    <w:rsid w:val="00E870C8"/>
    <w:rsid w:val="00E912CA"/>
    <w:rsid w:val="00E919C2"/>
    <w:rsid w:val="00E91B8E"/>
    <w:rsid w:val="00E93460"/>
    <w:rsid w:val="00E93470"/>
    <w:rsid w:val="00E94176"/>
    <w:rsid w:val="00E949D4"/>
    <w:rsid w:val="00E95C7A"/>
    <w:rsid w:val="00E979A3"/>
    <w:rsid w:val="00EA0C25"/>
    <w:rsid w:val="00EA4DEA"/>
    <w:rsid w:val="00EA6554"/>
    <w:rsid w:val="00EA6A6F"/>
    <w:rsid w:val="00EA78C1"/>
    <w:rsid w:val="00EB3371"/>
    <w:rsid w:val="00EC30F7"/>
    <w:rsid w:val="00EC3542"/>
    <w:rsid w:val="00EC4368"/>
    <w:rsid w:val="00EC6EB7"/>
    <w:rsid w:val="00EC70C7"/>
    <w:rsid w:val="00EC7634"/>
    <w:rsid w:val="00ED11BE"/>
    <w:rsid w:val="00ED3BA9"/>
    <w:rsid w:val="00ED3E24"/>
    <w:rsid w:val="00ED4370"/>
    <w:rsid w:val="00ED44DF"/>
    <w:rsid w:val="00ED7106"/>
    <w:rsid w:val="00EE35BC"/>
    <w:rsid w:val="00EE661C"/>
    <w:rsid w:val="00EE676F"/>
    <w:rsid w:val="00EF6B51"/>
    <w:rsid w:val="00F00DEA"/>
    <w:rsid w:val="00F0168C"/>
    <w:rsid w:val="00F035C1"/>
    <w:rsid w:val="00F04248"/>
    <w:rsid w:val="00F11016"/>
    <w:rsid w:val="00F147AF"/>
    <w:rsid w:val="00F15081"/>
    <w:rsid w:val="00F2288A"/>
    <w:rsid w:val="00F262ED"/>
    <w:rsid w:val="00F26621"/>
    <w:rsid w:val="00F26F59"/>
    <w:rsid w:val="00F3031B"/>
    <w:rsid w:val="00F30346"/>
    <w:rsid w:val="00F4086E"/>
    <w:rsid w:val="00F435CB"/>
    <w:rsid w:val="00F47F0D"/>
    <w:rsid w:val="00F501D9"/>
    <w:rsid w:val="00F50544"/>
    <w:rsid w:val="00F5170C"/>
    <w:rsid w:val="00F53806"/>
    <w:rsid w:val="00F5532F"/>
    <w:rsid w:val="00F5794C"/>
    <w:rsid w:val="00F57D0F"/>
    <w:rsid w:val="00F6046A"/>
    <w:rsid w:val="00F608CE"/>
    <w:rsid w:val="00F612D3"/>
    <w:rsid w:val="00F62600"/>
    <w:rsid w:val="00F65E2B"/>
    <w:rsid w:val="00F67668"/>
    <w:rsid w:val="00F726FD"/>
    <w:rsid w:val="00F72B17"/>
    <w:rsid w:val="00F7380D"/>
    <w:rsid w:val="00F7582D"/>
    <w:rsid w:val="00F76A2C"/>
    <w:rsid w:val="00F8173B"/>
    <w:rsid w:val="00F81FEB"/>
    <w:rsid w:val="00F86B45"/>
    <w:rsid w:val="00F87D3C"/>
    <w:rsid w:val="00F93A0B"/>
    <w:rsid w:val="00F95979"/>
    <w:rsid w:val="00F96B64"/>
    <w:rsid w:val="00F972C5"/>
    <w:rsid w:val="00FA5147"/>
    <w:rsid w:val="00FA5720"/>
    <w:rsid w:val="00FB166A"/>
    <w:rsid w:val="00FB45D0"/>
    <w:rsid w:val="00FB55E0"/>
    <w:rsid w:val="00FB5CF1"/>
    <w:rsid w:val="00FB629B"/>
    <w:rsid w:val="00FB7A0A"/>
    <w:rsid w:val="00FB7FE5"/>
    <w:rsid w:val="00FC0E71"/>
    <w:rsid w:val="00FC2815"/>
    <w:rsid w:val="00FC3776"/>
    <w:rsid w:val="00FC773B"/>
    <w:rsid w:val="00FD7C67"/>
    <w:rsid w:val="00FE235B"/>
    <w:rsid w:val="00FE33B4"/>
    <w:rsid w:val="00FE4F73"/>
    <w:rsid w:val="00FE6E1F"/>
    <w:rsid w:val="00FE7575"/>
    <w:rsid w:val="00FF2151"/>
    <w:rsid w:val="00FF2B80"/>
    <w:rsid w:val="00FF4B0B"/>
    <w:rsid w:val="02268FAB"/>
    <w:rsid w:val="058BC498"/>
    <w:rsid w:val="08A0AD4D"/>
    <w:rsid w:val="0DF5D6FC"/>
    <w:rsid w:val="163BF101"/>
    <w:rsid w:val="23DF4041"/>
    <w:rsid w:val="25CBC737"/>
    <w:rsid w:val="2665E9F0"/>
    <w:rsid w:val="278373B6"/>
    <w:rsid w:val="2AA00983"/>
    <w:rsid w:val="2F98D8A2"/>
    <w:rsid w:val="3701363B"/>
    <w:rsid w:val="378CF41E"/>
    <w:rsid w:val="3BB953F2"/>
    <w:rsid w:val="3C4D9F18"/>
    <w:rsid w:val="51E98399"/>
    <w:rsid w:val="520B2FF9"/>
    <w:rsid w:val="52F5F672"/>
    <w:rsid w:val="5371B6AE"/>
    <w:rsid w:val="57D6A6DB"/>
    <w:rsid w:val="5903C7E3"/>
    <w:rsid w:val="5B1ED710"/>
    <w:rsid w:val="5C2802BF"/>
    <w:rsid w:val="5E29D43E"/>
    <w:rsid w:val="63847B71"/>
    <w:rsid w:val="67F4C245"/>
    <w:rsid w:val="7138BFE2"/>
    <w:rsid w:val="72341E89"/>
    <w:rsid w:val="72CCA3B8"/>
    <w:rsid w:val="74AB859F"/>
    <w:rsid w:val="752999CF"/>
    <w:rsid w:val="765AECDF"/>
    <w:rsid w:val="78B6E9B8"/>
    <w:rsid w:val="7B34FA05"/>
    <w:rsid w:val="7D8ABD49"/>
    <w:rsid w:val="7E66128C"/>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9A9E5"/>
  <w15:chartTrackingRefBased/>
  <w15:docId w15:val="{9BE73F91-BED8-4A30-96F9-205E6936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A0B"/>
    <w:rPr>
      <w:rFonts w:ascii="Myriad Pro Light" w:hAnsi="Myriad Pro Light"/>
    </w:rPr>
  </w:style>
  <w:style w:type="paragraph" w:styleId="Heading1">
    <w:name w:val="heading 1"/>
    <w:basedOn w:val="Normal"/>
    <w:next w:val="Normal"/>
    <w:link w:val="Heading1Char"/>
    <w:uiPriority w:val="9"/>
    <w:qFormat/>
    <w:rsid w:val="00F93A0B"/>
    <w:pPr>
      <w:keepNext/>
      <w:keepLines/>
      <w:spacing w:before="240" w:after="120"/>
      <w:outlineLvl w:val="0"/>
    </w:pPr>
    <w:rPr>
      <w:rFonts w:eastAsiaTheme="majorEastAsia" w:cstheme="majorBidi"/>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2D9"/>
  </w:style>
  <w:style w:type="paragraph" w:styleId="Footer">
    <w:name w:val="footer"/>
    <w:basedOn w:val="Normal"/>
    <w:link w:val="FooterChar"/>
    <w:uiPriority w:val="99"/>
    <w:unhideWhenUsed/>
    <w:rsid w:val="0046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2D9"/>
  </w:style>
  <w:style w:type="paragraph" w:styleId="BodyText">
    <w:name w:val="Body Text"/>
    <w:basedOn w:val="Normal"/>
    <w:link w:val="BodyTextChar"/>
    <w:uiPriority w:val="1"/>
    <w:qFormat/>
    <w:rsid w:val="004622D9"/>
    <w:pPr>
      <w:widowControl w:val="0"/>
      <w:autoSpaceDE w:val="0"/>
      <w:autoSpaceDN w:val="0"/>
      <w:spacing w:after="0" w:line="240" w:lineRule="auto"/>
    </w:pPr>
    <w:rPr>
      <w:rFonts w:ascii="Palatino Linotype" w:eastAsia="Palatino Linotype" w:hAnsi="Palatino Linotype" w:cs="Palatino Linotype"/>
      <w:sz w:val="18"/>
      <w:szCs w:val="18"/>
      <w:lang w:val="en-US"/>
    </w:rPr>
  </w:style>
  <w:style w:type="character" w:customStyle="1" w:styleId="BodyTextChar">
    <w:name w:val="Body Text Char"/>
    <w:basedOn w:val="DefaultParagraphFont"/>
    <w:link w:val="BodyText"/>
    <w:uiPriority w:val="1"/>
    <w:rsid w:val="004622D9"/>
    <w:rPr>
      <w:rFonts w:ascii="Palatino Linotype" w:eastAsia="Palatino Linotype" w:hAnsi="Palatino Linotype" w:cs="Palatino Linotype"/>
      <w:sz w:val="18"/>
      <w:szCs w:val="18"/>
      <w:lang w:val="en-US"/>
    </w:rPr>
  </w:style>
  <w:style w:type="paragraph" w:styleId="BalloonText">
    <w:name w:val="Balloon Text"/>
    <w:basedOn w:val="Normal"/>
    <w:link w:val="BalloonTextChar"/>
    <w:uiPriority w:val="99"/>
    <w:semiHidden/>
    <w:unhideWhenUsed/>
    <w:rsid w:val="00210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AA3"/>
    <w:rPr>
      <w:rFonts w:ascii="Segoe UI" w:hAnsi="Segoe UI" w:cs="Segoe UI"/>
      <w:sz w:val="18"/>
      <w:szCs w:val="18"/>
    </w:rPr>
  </w:style>
  <w:style w:type="paragraph" w:styleId="ListParagraph">
    <w:name w:val="List Paragraph"/>
    <w:basedOn w:val="Normal"/>
    <w:uiPriority w:val="34"/>
    <w:qFormat/>
    <w:rsid w:val="00B80E37"/>
    <w:pPr>
      <w:ind w:left="720"/>
      <w:contextualSpacing/>
    </w:pPr>
  </w:style>
  <w:style w:type="table" w:styleId="TableGrid">
    <w:name w:val="Table Grid"/>
    <w:basedOn w:val="TableNormal"/>
    <w:uiPriority w:val="39"/>
    <w:rsid w:val="00F11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3A0B"/>
    <w:rPr>
      <w:rFonts w:ascii="Myriad Pro Light" w:eastAsiaTheme="majorEastAsia" w:hAnsi="Myriad Pro Light" w:cstheme="majorBidi"/>
      <w:color w:val="000000" w:themeColor="text1"/>
      <w:sz w:val="40"/>
      <w:szCs w:val="32"/>
    </w:rPr>
  </w:style>
  <w:style w:type="paragraph" w:styleId="TOCHeading">
    <w:name w:val="TOC Heading"/>
    <w:basedOn w:val="Heading1"/>
    <w:next w:val="Normal"/>
    <w:uiPriority w:val="39"/>
    <w:unhideWhenUsed/>
    <w:qFormat/>
    <w:rsid w:val="001D0749"/>
    <w:pPr>
      <w:spacing w:after="0"/>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1D0749"/>
    <w:pPr>
      <w:spacing w:after="100"/>
    </w:pPr>
  </w:style>
  <w:style w:type="character" w:styleId="Hyperlink">
    <w:name w:val="Hyperlink"/>
    <w:basedOn w:val="DefaultParagraphFont"/>
    <w:uiPriority w:val="99"/>
    <w:unhideWhenUsed/>
    <w:rsid w:val="001D0749"/>
    <w:rPr>
      <w:color w:val="0563C1" w:themeColor="hyperlink"/>
      <w:u w:val="single"/>
    </w:rPr>
  </w:style>
  <w:style w:type="paragraph" w:styleId="NormalWeb">
    <w:name w:val="Normal (Web)"/>
    <w:basedOn w:val="Normal"/>
    <w:uiPriority w:val="99"/>
    <w:semiHidden/>
    <w:unhideWhenUsed/>
    <w:rsid w:val="00191DEC"/>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Default">
    <w:name w:val="Default"/>
    <w:rsid w:val="00DF6434"/>
    <w:pPr>
      <w:autoSpaceDE w:val="0"/>
      <w:autoSpaceDN w:val="0"/>
      <w:adjustRightInd w:val="0"/>
      <w:spacing w:after="0" w:line="240" w:lineRule="auto"/>
    </w:pPr>
    <w:rPr>
      <w:rFonts w:ascii="Myriad Pro Light" w:hAnsi="Myriad Pro Light" w:cs="Myriad Pro Light"/>
      <w:color w:val="000000"/>
      <w:sz w:val="24"/>
      <w:szCs w:val="24"/>
    </w:rPr>
  </w:style>
  <w:style w:type="character" w:styleId="UnresolvedMention">
    <w:name w:val="Unresolved Mention"/>
    <w:basedOn w:val="DefaultParagraphFont"/>
    <w:uiPriority w:val="99"/>
    <w:semiHidden/>
    <w:unhideWhenUsed/>
    <w:rsid w:val="001F2FA5"/>
    <w:rPr>
      <w:color w:val="605E5C"/>
      <w:shd w:val="clear" w:color="auto" w:fill="E1DFDD"/>
    </w:rPr>
  </w:style>
  <w:style w:type="character" w:styleId="FollowedHyperlink">
    <w:name w:val="FollowedHyperlink"/>
    <w:basedOn w:val="DefaultParagraphFont"/>
    <w:uiPriority w:val="99"/>
    <w:semiHidden/>
    <w:unhideWhenUsed/>
    <w:rsid w:val="00EC6EB7"/>
    <w:rPr>
      <w:color w:val="954F72" w:themeColor="followedHyperlink"/>
      <w:u w:val="single"/>
    </w:rPr>
  </w:style>
  <w:style w:type="paragraph" w:styleId="Revision">
    <w:name w:val="Revision"/>
    <w:hidden/>
    <w:uiPriority w:val="99"/>
    <w:semiHidden/>
    <w:rsid w:val="001F6CDF"/>
    <w:pPr>
      <w:spacing w:after="0" w:line="240" w:lineRule="auto"/>
    </w:pPr>
    <w:rPr>
      <w:rFonts w:ascii="Myriad Pro Light" w:hAnsi="Myriad Pro Light"/>
    </w:rPr>
  </w:style>
  <w:style w:type="character" w:styleId="CommentReference">
    <w:name w:val="annotation reference"/>
    <w:basedOn w:val="DefaultParagraphFont"/>
    <w:uiPriority w:val="99"/>
    <w:semiHidden/>
    <w:unhideWhenUsed/>
    <w:rsid w:val="008D0ECE"/>
    <w:rPr>
      <w:sz w:val="16"/>
      <w:szCs w:val="16"/>
    </w:rPr>
  </w:style>
  <w:style w:type="paragraph" w:styleId="CommentText">
    <w:name w:val="annotation text"/>
    <w:basedOn w:val="Normal"/>
    <w:link w:val="CommentTextChar"/>
    <w:uiPriority w:val="99"/>
    <w:unhideWhenUsed/>
    <w:rsid w:val="008D0ECE"/>
    <w:pPr>
      <w:spacing w:line="240" w:lineRule="auto"/>
    </w:pPr>
    <w:rPr>
      <w:sz w:val="20"/>
      <w:szCs w:val="20"/>
    </w:rPr>
  </w:style>
  <w:style w:type="character" w:customStyle="1" w:styleId="CommentTextChar">
    <w:name w:val="Comment Text Char"/>
    <w:basedOn w:val="DefaultParagraphFont"/>
    <w:link w:val="CommentText"/>
    <w:uiPriority w:val="99"/>
    <w:rsid w:val="008D0ECE"/>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8D0ECE"/>
    <w:rPr>
      <w:b/>
      <w:bCs/>
    </w:rPr>
  </w:style>
  <w:style w:type="character" w:customStyle="1" w:styleId="CommentSubjectChar">
    <w:name w:val="Comment Subject Char"/>
    <w:basedOn w:val="CommentTextChar"/>
    <w:link w:val="CommentSubject"/>
    <w:uiPriority w:val="99"/>
    <w:semiHidden/>
    <w:rsid w:val="008D0ECE"/>
    <w:rPr>
      <w:rFonts w:ascii="Myriad Pro Light" w:hAnsi="Myriad Pr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7761">
      <w:bodyDiv w:val="1"/>
      <w:marLeft w:val="0"/>
      <w:marRight w:val="0"/>
      <w:marTop w:val="0"/>
      <w:marBottom w:val="0"/>
      <w:divBdr>
        <w:top w:val="none" w:sz="0" w:space="0" w:color="auto"/>
        <w:left w:val="none" w:sz="0" w:space="0" w:color="auto"/>
        <w:bottom w:val="none" w:sz="0" w:space="0" w:color="auto"/>
        <w:right w:val="none" w:sz="0" w:space="0" w:color="auto"/>
      </w:divBdr>
    </w:div>
    <w:div w:id="146554085">
      <w:bodyDiv w:val="1"/>
      <w:marLeft w:val="0"/>
      <w:marRight w:val="0"/>
      <w:marTop w:val="0"/>
      <w:marBottom w:val="0"/>
      <w:divBdr>
        <w:top w:val="none" w:sz="0" w:space="0" w:color="auto"/>
        <w:left w:val="none" w:sz="0" w:space="0" w:color="auto"/>
        <w:bottom w:val="none" w:sz="0" w:space="0" w:color="auto"/>
        <w:right w:val="none" w:sz="0" w:space="0" w:color="auto"/>
      </w:divBdr>
    </w:div>
    <w:div w:id="167643604">
      <w:bodyDiv w:val="1"/>
      <w:marLeft w:val="0"/>
      <w:marRight w:val="0"/>
      <w:marTop w:val="0"/>
      <w:marBottom w:val="0"/>
      <w:divBdr>
        <w:top w:val="none" w:sz="0" w:space="0" w:color="auto"/>
        <w:left w:val="none" w:sz="0" w:space="0" w:color="auto"/>
        <w:bottom w:val="none" w:sz="0" w:space="0" w:color="auto"/>
        <w:right w:val="none" w:sz="0" w:space="0" w:color="auto"/>
      </w:divBdr>
    </w:div>
    <w:div w:id="361590776">
      <w:bodyDiv w:val="1"/>
      <w:marLeft w:val="0"/>
      <w:marRight w:val="0"/>
      <w:marTop w:val="0"/>
      <w:marBottom w:val="0"/>
      <w:divBdr>
        <w:top w:val="none" w:sz="0" w:space="0" w:color="auto"/>
        <w:left w:val="none" w:sz="0" w:space="0" w:color="auto"/>
        <w:bottom w:val="none" w:sz="0" w:space="0" w:color="auto"/>
        <w:right w:val="none" w:sz="0" w:space="0" w:color="auto"/>
      </w:divBdr>
    </w:div>
    <w:div w:id="466237536">
      <w:bodyDiv w:val="1"/>
      <w:marLeft w:val="0"/>
      <w:marRight w:val="0"/>
      <w:marTop w:val="0"/>
      <w:marBottom w:val="0"/>
      <w:divBdr>
        <w:top w:val="none" w:sz="0" w:space="0" w:color="auto"/>
        <w:left w:val="none" w:sz="0" w:space="0" w:color="auto"/>
        <w:bottom w:val="none" w:sz="0" w:space="0" w:color="auto"/>
        <w:right w:val="none" w:sz="0" w:space="0" w:color="auto"/>
      </w:divBdr>
    </w:div>
    <w:div w:id="794447626">
      <w:bodyDiv w:val="1"/>
      <w:marLeft w:val="0"/>
      <w:marRight w:val="0"/>
      <w:marTop w:val="0"/>
      <w:marBottom w:val="0"/>
      <w:divBdr>
        <w:top w:val="none" w:sz="0" w:space="0" w:color="auto"/>
        <w:left w:val="none" w:sz="0" w:space="0" w:color="auto"/>
        <w:bottom w:val="none" w:sz="0" w:space="0" w:color="auto"/>
        <w:right w:val="none" w:sz="0" w:space="0" w:color="auto"/>
      </w:divBdr>
    </w:div>
    <w:div w:id="954100614">
      <w:bodyDiv w:val="1"/>
      <w:marLeft w:val="0"/>
      <w:marRight w:val="0"/>
      <w:marTop w:val="0"/>
      <w:marBottom w:val="0"/>
      <w:divBdr>
        <w:top w:val="none" w:sz="0" w:space="0" w:color="auto"/>
        <w:left w:val="none" w:sz="0" w:space="0" w:color="auto"/>
        <w:bottom w:val="none" w:sz="0" w:space="0" w:color="auto"/>
        <w:right w:val="none" w:sz="0" w:space="0" w:color="auto"/>
      </w:divBdr>
    </w:div>
    <w:div w:id="973949763">
      <w:bodyDiv w:val="1"/>
      <w:marLeft w:val="0"/>
      <w:marRight w:val="0"/>
      <w:marTop w:val="0"/>
      <w:marBottom w:val="0"/>
      <w:divBdr>
        <w:top w:val="none" w:sz="0" w:space="0" w:color="auto"/>
        <w:left w:val="none" w:sz="0" w:space="0" w:color="auto"/>
        <w:bottom w:val="none" w:sz="0" w:space="0" w:color="auto"/>
        <w:right w:val="none" w:sz="0" w:space="0" w:color="auto"/>
      </w:divBdr>
    </w:div>
    <w:div w:id="1081872698">
      <w:bodyDiv w:val="1"/>
      <w:marLeft w:val="0"/>
      <w:marRight w:val="0"/>
      <w:marTop w:val="0"/>
      <w:marBottom w:val="0"/>
      <w:divBdr>
        <w:top w:val="none" w:sz="0" w:space="0" w:color="auto"/>
        <w:left w:val="none" w:sz="0" w:space="0" w:color="auto"/>
        <w:bottom w:val="none" w:sz="0" w:space="0" w:color="auto"/>
        <w:right w:val="none" w:sz="0" w:space="0" w:color="auto"/>
      </w:divBdr>
    </w:div>
    <w:div w:id="1120300530">
      <w:bodyDiv w:val="1"/>
      <w:marLeft w:val="0"/>
      <w:marRight w:val="0"/>
      <w:marTop w:val="0"/>
      <w:marBottom w:val="0"/>
      <w:divBdr>
        <w:top w:val="none" w:sz="0" w:space="0" w:color="auto"/>
        <w:left w:val="none" w:sz="0" w:space="0" w:color="auto"/>
        <w:bottom w:val="none" w:sz="0" w:space="0" w:color="auto"/>
        <w:right w:val="none" w:sz="0" w:space="0" w:color="auto"/>
      </w:divBdr>
    </w:div>
    <w:div w:id="1131904250">
      <w:bodyDiv w:val="1"/>
      <w:marLeft w:val="0"/>
      <w:marRight w:val="0"/>
      <w:marTop w:val="0"/>
      <w:marBottom w:val="0"/>
      <w:divBdr>
        <w:top w:val="none" w:sz="0" w:space="0" w:color="auto"/>
        <w:left w:val="none" w:sz="0" w:space="0" w:color="auto"/>
        <w:bottom w:val="none" w:sz="0" w:space="0" w:color="auto"/>
        <w:right w:val="none" w:sz="0" w:space="0" w:color="auto"/>
      </w:divBdr>
    </w:div>
    <w:div w:id="1159660269">
      <w:bodyDiv w:val="1"/>
      <w:marLeft w:val="0"/>
      <w:marRight w:val="0"/>
      <w:marTop w:val="0"/>
      <w:marBottom w:val="0"/>
      <w:divBdr>
        <w:top w:val="none" w:sz="0" w:space="0" w:color="auto"/>
        <w:left w:val="none" w:sz="0" w:space="0" w:color="auto"/>
        <w:bottom w:val="none" w:sz="0" w:space="0" w:color="auto"/>
        <w:right w:val="none" w:sz="0" w:space="0" w:color="auto"/>
      </w:divBdr>
    </w:div>
    <w:div w:id="1203596082">
      <w:bodyDiv w:val="1"/>
      <w:marLeft w:val="0"/>
      <w:marRight w:val="0"/>
      <w:marTop w:val="0"/>
      <w:marBottom w:val="0"/>
      <w:divBdr>
        <w:top w:val="none" w:sz="0" w:space="0" w:color="auto"/>
        <w:left w:val="none" w:sz="0" w:space="0" w:color="auto"/>
        <w:bottom w:val="none" w:sz="0" w:space="0" w:color="auto"/>
        <w:right w:val="none" w:sz="0" w:space="0" w:color="auto"/>
      </w:divBdr>
    </w:div>
    <w:div w:id="1250308054">
      <w:bodyDiv w:val="1"/>
      <w:marLeft w:val="0"/>
      <w:marRight w:val="0"/>
      <w:marTop w:val="0"/>
      <w:marBottom w:val="0"/>
      <w:divBdr>
        <w:top w:val="none" w:sz="0" w:space="0" w:color="auto"/>
        <w:left w:val="none" w:sz="0" w:space="0" w:color="auto"/>
        <w:bottom w:val="none" w:sz="0" w:space="0" w:color="auto"/>
        <w:right w:val="none" w:sz="0" w:space="0" w:color="auto"/>
      </w:divBdr>
    </w:div>
    <w:div w:id="1344554489">
      <w:bodyDiv w:val="1"/>
      <w:marLeft w:val="0"/>
      <w:marRight w:val="0"/>
      <w:marTop w:val="0"/>
      <w:marBottom w:val="0"/>
      <w:divBdr>
        <w:top w:val="none" w:sz="0" w:space="0" w:color="auto"/>
        <w:left w:val="none" w:sz="0" w:space="0" w:color="auto"/>
        <w:bottom w:val="none" w:sz="0" w:space="0" w:color="auto"/>
        <w:right w:val="none" w:sz="0" w:space="0" w:color="auto"/>
      </w:divBdr>
    </w:div>
    <w:div w:id="1394742499">
      <w:bodyDiv w:val="1"/>
      <w:marLeft w:val="0"/>
      <w:marRight w:val="0"/>
      <w:marTop w:val="0"/>
      <w:marBottom w:val="0"/>
      <w:divBdr>
        <w:top w:val="none" w:sz="0" w:space="0" w:color="auto"/>
        <w:left w:val="none" w:sz="0" w:space="0" w:color="auto"/>
        <w:bottom w:val="none" w:sz="0" w:space="0" w:color="auto"/>
        <w:right w:val="none" w:sz="0" w:space="0" w:color="auto"/>
      </w:divBdr>
    </w:div>
    <w:div w:id="1537736935">
      <w:bodyDiv w:val="1"/>
      <w:marLeft w:val="0"/>
      <w:marRight w:val="0"/>
      <w:marTop w:val="0"/>
      <w:marBottom w:val="0"/>
      <w:divBdr>
        <w:top w:val="none" w:sz="0" w:space="0" w:color="auto"/>
        <w:left w:val="none" w:sz="0" w:space="0" w:color="auto"/>
        <w:bottom w:val="none" w:sz="0" w:space="0" w:color="auto"/>
        <w:right w:val="none" w:sz="0" w:space="0" w:color="auto"/>
      </w:divBdr>
    </w:div>
    <w:div w:id="1548253894">
      <w:bodyDiv w:val="1"/>
      <w:marLeft w:val="0"/>
      <w:marRight w:val="0"/>
      <w:marTop w:val="0"/>
      <w:marBottom w:val="0"/>
      <w:divBdr>
        <w:top w:val="none" w:sz="0" w:space="0" w:color="auto"/>
        <w:left w:val="none" w:sz="0" w:space="0" w:color="auto"/>
        <w:bottom w:val="none" w:sz="0" w:space="0" w:color="auto"/>
        <w:right w:val="none" w:sz="0" w:space="0" w:color="auto"/>
      </w:divBdr>
    </w:div>
    <w:div w:id="1593274215">
      <w:bodyDiv w:val="1"/>
      <w:marLeft w:val="0"/>
      <w:marRight w:val="0"/>
      <w:marTop w:val="0"/>
      <w:marBottom w:val="0"/>
      <w:divBdr>
        <w:top w:val="none" w:sz="0" w:space="0" w:color="auto"/>
        <w:left w:val="none" w:sz="0" w:space="0" w:color="auto"/>
        <w:bottom w:val="none" w:sz="0" w:space="0" w:color="auto"/>
        <w:right w:val="none" w:sz="0" w:space="0" w:color="auto"/>
      </w:divBdr>
      <w:divsChild>
        <w:div w:id="370761550">
          <w:marLeft w:val="0"/>
          <w:marRight w:val="0"/>
          <w:marTop w:val="0"/>
          <w:marBottom w:val="0"/>
          <w:divBdr>
            <w:top w:val="single" w:sz="2" w:space="0" w:color="auto"/>
            <w:left w:val="single" w:sz="2" w:space="0" w:color="auto"/>
            <w:bottom w:val="single" w:sz="6" w:space="0" w:color="auto"/>
            <w:right w:val="single" w:sz="2" w:space="0" w:color="auto"/>
          </w:divBdr>
          <w:divsChild>
            <w:div w:id="764807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011666">
          <w:marLeft w:val="0"/>
          <w:marRight w:val="0"/>
          <w:marTop w:val="0"/>
          <w:marBottom w:val="0"/>
          <w:divBdr>
            <w:top w:val="single" w:sz="2" w:space="0" w:color="auto"/>
            <w:left w:val="single" w:sz="2" w:space="0" w:color="auto"/>
            <w:bottom w:val="single" w:sz="6" w:space="0" w:color="auto"/>
            <w:right w:val="single" w:sz="2" w:space="0" w:color="auto"/>
          </w:divBdr>
          <w:divsChild>
            <w:div w:id="59132677">
              <w:marLeft w:val="0"/>
              <w:marRight w:val="0"/>
              <w:marTop w:val="0"/>
              <w:marBottom w:val="0"/>
              <w:divBdr>
                <w:top w:val="single" w:sz="2" w:space="0" w:color="E5E7EB"/>
                <w:left w:val="single" w:sz="2" w:space="0" w:color="E5E7EB"/>
                <w:bottom w:val="single" w:sz="2" w:space="0" w:color="E5E7EB"/>
                <w:right w:val="single" w:sz="2" w:space="0" w:color="E5E7EB"/>
              </w:divBdr>
            </w:div>
            <w:div w:id="668292589">
              <w:marLeft w:val="0"/>
              <w:marRight w:val="0"/>
              <w:marTop w:val="0"/>
              <w:marBottom w:val="0"/>
              <w:divBdr>
                <w:top w:val="single" w:sz="2" w:space="0" w:color="E5E7EB"/>
                <w:left w:val="single" w:sz="2" w:space="0" w:color="E5E7EB"/>
                <w:bottom w:val="single" w:sz="2" w:space="0" w:color="E5E7EB"/>
                <w:right w:val="single" w:sz="2" w:space="0" w:color="E5E7EB"/>
              </w:divBdr>
              <w:divsChild>
                <w:div w:id="1614290250">
                  <w:marLeft w:val="0"/>
                  <w:marRight w:val="0"/>
                  <w:marTop w:val="0"/>
                  <w:marBottom w:val="0"/>
                  <w:divBdr>
                    <w:top w:val="single" w:sz="2" w:space="0" w:color="E5E7EB"/>
                    <w:left w:val="single" w:sz="2" w:space="0" w:color="E5E7EB"/>
                    <w:bottom w:val="single" w:sz="2" w:space="0" w:color="E5E7EB"/>
                    <w:right w:val="single" w:sz="2" w:space="0" w:color="E5E7EB"/>
                  </w:divBdr>
                  <w:divsChild>
                    <w:div w:id="1723746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27694436">
          <w:marLeft w:val="0"/>
          <w:marRight w:val="0"/>
          <w:marTop w:val="0"/>
          <w:marBottom w:val="0"/>
          <w:divBdr>
            <w:top w:val="single" w:sz="2" w:space="0" w:color="auto"/>
            <w:left w:val="single" w:sz="2" w:space="0" w:color="auto"/>
            <w:bottom w:val="single" w:sz="6" w:space="0" w:color="auto"/>
            <w:right w:val="single" w:sz="2" w:space="0" w:color="auto"/>
          </w:divBdr>
          <w:divsChild>
            <w:div w:id="121005264">
              <w:marLeft w:val="0"/>
              <w:marRight w:val="0"/>
              <w:marTop w:val="0"/>
              <w:marBottom w:val="0"/>
              <w:divBdr>
                <w:top w:val="single" w:sz="2" w:space="0" w:color="E5E7EB"/>
                <w:left w:val="single" w:sz="2" w:space="0" w:color="E5E7EB"/>
                <w:bottom w:val="single" w:sz="2" w:space="0" w:color="E5E7EB"/>
                <w:right w:val="single" w:sz="2" w:space="0" w:color="E5E7EB"/>
              </w:divBdr>
            </w:div>
            <w:div w:id="374737217">
              <w:marLeft w:val="0"/>
              <w:marRight w:val="0"/>
              <w:marTop w:val="0"/>
              <w:marBottom w:val="0"/>
              <w:divBdr>
                <w:top w:val="single" w:sz="2" w:space="0" w:color="E5E7EB"/>
                <w:left w:val="single" w:sz="2" w:space="0" w:color="E5E7EB"/>
                <w:bottom w:val="single" w:sz="2" w:space="0" w:color="E5E7EB"/>
                <w:right w:val="single" w:sz="2" w:space="0" w:color="E5E7EB"/>
              </w:divBdr>
              <w:divsChild>
                <w:div w:id="1530409728">
                  <w:marLeft w:val="0"/>
                  <w:marRight w:val="0"/>
                  <w:marTop w:val="0"/>
                  <w:marBottom w:val="0"/>
                  <w:divBdr>
                    <w:top w:val="single" w:sz="2" w:space="0" w:color="E5E7EB"/>
                    <w:left w:val="single" w:sz="2" w:space="0" w:color="E5E7EB"/>
                    <w:bottom w:val="single" w:sz="2" w:space="0" w:color="E5E7EB"/>
                    <w:right w:val="single" w:sz="2" w:space="0" w:color="E5E7EB"/>
                  </w:divBdr>
                  <w:divsChild>
                    <w:div w:id="1297027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8463185">
      <w:bodyDiv w:val="1"/>
      <w:marLeft w:val="0"/>
      <w:marRight w:val="0"/>
      <w:marTop w:val="0"/>
      <w:marBottom w:val="0"/>
      <w:divBdr>
        <w:top w:val="none" w:sz="0" w:space="0" w:color="auto"/>
        <w:left w:val="none" w:sz="0" w:space="0" w:color="auto"/>
        <w:bottom w:val="none" w:sz="0" w:space="0" w:color="auto"/>
        <w:right w:val="none" w:sz="0" w:space="0" w:color="auto"/>
      </w:divBdr>
    </w:div>
    <w:div w:id="1918635842">
      <w:bodyDiv w:val="1"/>
      <w:marLeft w:val="0"/>
      <w:marRight w:val="0"/>
      <w:marTop w:val="0"/>
      <w:marBottom w:val="0"/>
      <w:divBdr>
        <w:top w:val="none" w:sz="0" w:space="0" w:color="auto"/>
        <w:left w:val="none" w:sz="0" w:space="0" w:color="auto"/>
        <w:bottom w:val="none" w:sz="0" w:space="0" w:color="auto"/>
        <w:right w:val="none" w:sz="0" w:space="0" w:color="auto"/>
      </w:divBdr>
    </w:div>
    <w:div w:id="1973439239">
      <w:bodyDiv w:val="1"/>
      <w:marLeft w:val="0"/>
      <w:marRight w:val="0"/>
      <w:marTop w:val="0"/>
      <w:marBottom w:val="0"/>
      <w:divBdr>
        <w:top w:val="none" w:sz="0" w:space="0" w:color="auto"/>
        <w:left w:val="none" w:sz="0" w:space="0" w:color="auto"/>
        <w:bottom w:val="none" w:sz="0" w:space="0" w:color="auto"/>
        <w:right w:val="none" w:sz="0" w:space="0" w:color="auto"/>
      </w:divBdr>
    </w:div>
    <w:div w:id="2002266733">
      <w:bodyDiv w:val="1"/>
      <w:marLeft w:val="0"/>
      <w:marRight w:val="0"/>
      <w:marTop w:val="0"/>
      <w:marBottom w:val="0"/>
      <w:divBdr>
        <w:top w:val="none" w:sz="0" w:space="0" w:color="auto"/>
        <w:left w:val="none" w:sz="0" w:space="0" w:color="auto"/>
        <w:bottom w:val="none" w:sz="0" w:space="0" w:color="auto"/>
        <w:right w:val="none" w:sz="0" w:space="0" w:color="auto"/>
      </w:divBdr>
    </w:div>
    <w:div w:id="200843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x-power.com/industrial-power-supplies/?utm_source=Electronica_EIRE300+PR&amp;utm_medium=Press+Release_Industrial+Overview&amp;utm_campaign=Electronica_EIRE300_Press+Release_Industrial+Overview"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ox-power.com/industrial-power-supplies/?utm_source=Electronica_EIRE300+PR&amp;utm_medium=Press+Release_Industrial+Overview&amp;utm_campaign=Electronica_EIRE300_Press+Release_Industrial+Overview"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eting@vox-power.com" TargetMode="External"/><Relationship Id="rId5" Type="http://schemas.openxmlformats.org/officeDocument/2006/relationships/numbering" Target="numbering.xml"/><Relationship Id="rId15" Type="http://schemas.openxmlformats.org/officeDocument/2006/relationships/hyperlink" Target="https://2ly.link/20LY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x-power.com/wp-content/uploads/EIRE300/DOC-DTS-035-EIRE300-Datashee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fd00e9-9e97-4870-91b0-ae42d22adc8d">
      <Terms xmlns="http://schemas.microsoft.com/office/infopath/2007/PartnerControls"/>
    </lcf76f155ced4ddcb4097134ff3c332f>
    <TaxCatchAll xmlns="d8ead12d-98b9-4f5a-8018-45f5fdc831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80D676E6E28041B5D376E8526D0060" ma:contentTypeVersion="18" ma:contentTypeDescription="Create a new document." ma:contentTypeScope="" ma:versionID="e77a4cb0e10454810a3b5d4a14ae4ed2">
  <xsd:schema xmlns:xsd="http://www.w3.org/2001/XMLSchema" xmlns:xs="http://www.w3.org/2001/XMLSchema" xmlns:p="http://schemas.microsoft.com/office/2006/metadata/properties" xmlns:ns2="6dfd00e9-9e97-4870-91b0-ae42d22adc8d" xmlns:ns3="d8ead12d-98b9-4f5a-8018-45f5fdc83175" targetNamespace="http://schemas.microsoft.com/office/2006/metadata/properties" ma:root="true" ma:fieldsID="f077f0e2cc6de701a86141a79569cf99" ns2:_="" ns3:_="">
    <xsd:import namespace="6dfd00e9-9e97-4870-91b0-ae42d22adc8d"/>
    <xsd:import namespace="d8ead12d-98b9-4f5a-8018-45f5fdc831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d00e9-9e97-4870-91b0-ae42d22ad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8319f2-d24a-428c-aad1-608f537e969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ead12d-98b9-4f5a-8018-45f5fdc831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fda435b-d00c-437f-a37b-8ea1c90c0d5e}" ma:internalName="TaxCatchAll" ma:showField="CatchAllData" ma:web="d8ead12d-98b9-4f5a-8018-45f5fdc831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D9162-9DD8-4B46-80CB-CCE5A24AE2E1}">
  <ds:schemaRefs>
    <ds:schemaRef ds:uri="http://schemas.microsoft.com/office/2006/metadata/properties"/>
    <ds:schemaRef ds:uri="http://schemas.microsoft.com/office/infopath/2007/PartnerControls"/>
    <ds:schemaRef ds:uri="6dfd00e9-9e97-4870-91b0-ae42d22adc8d"/>
    <ds:schemaRef ds:uri="d8ead12d-98b9-4f5a-8018-45f5fdc83175"/>
  </ds:schemaRefs>
</ds:datastoreItem>
</file>

<file path=customXml/itemProps2.xml><?xml version="1.0" encoding="utf-8"?>
<ds:datastoreItem xmlns:ds="http://schemas.openxmlformats.org/officeDocument/2006/customXml" ds:itemID="{369864DE-5D44-4777-AE7E-F83A393B302D}">
  <ds:schemaRefs>
    <ds:schemaRef ds:uri="http://schemas.microsoft.com/sharepoint/v3/contenttype/forms"/>
  </ds:schemaRefs>
</ds:datastoreItem>
</file>

<file path=customXml/itemProps3.xml><?xml version="1.0" encoding="utf-8"?>
<ds:datastoreItem xmlns:ds="http://schemas.openxmlformats.org/officeDocument/2006/customXml" ds:itemID="{F2E312DC-1BB6-421A-A65A-79C84A484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d00e9-9e97-4870-91b0-ae42d22adc8d"/>
    <ds:schemaRef ds:uri="d8ead12d-98b9-4f5a-8018-45f5fdc83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BAE65-5DFC-4169-B230-3960B0C0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756</Words>
  <Characters>4311</Characters>
  <Application>Microsoft Office Word</Application>
  <DocSecurity>0</DocSecurity>
  <Lines>35</Lines>
  <Paragraphs>10</Paragraphs>
  <ScaleCrop>false</ScaleCrop>
  <Company>Vox Power Ltd</Company>
  <LinksUpToDate>false</LinksUpToDate>
  <CharactersWithSpaces>5057</CharactersWithSpaces>
  <SharedDoc>false</SharedDoc>
  <HLinks>
    <vt:vector size="18" baseType="variant">
      <vt:variant>
        <vt:i4>458788</vt:i4>
      </vt:variant>
      <vt:variant>
        <vt:i4>6</vt:i4>
      </vt:variant>
      <vt:variant>
        <vt:i4>0</vt:i4>
      </vt:variant>
      <vt:variant>
        <vt:i4>5</vt:i4>
      </vt:variant>
      <vt:variant>
        <vt:lpwstr>https://www.vox-power.com/?utm_source=VoxPower&amp;utm_medium=Vox+Power+Website+Press+Release&amp;utm_campaign=Vox+Power+Website+VCCR300+PR</vt:lpwstr>
      </vt:variant>
      <vt:variant>
        <vt:lpwstr/>
      </vt:variant>
      <vt:variant>
        <vt:i4>7864353</vt:i4>
      </vt:variant>
      <vt:variant>
        <vt:i4>3</vt:i4>
      </vt:variant>
      <vt:variant>
        <vt:i4>0</vt:i4>
      </vt:variant>
      <vt:variant>
        <vt:i4>5</vt:i4>
      </vt:variant>
      <vt:variant>
        <vt:lpwstr>https://www.vox-power.com/wp-content/uploads/EIRE300/DOC-DTS-035-EIRE300-Datasheet.pdf</vt:lpwstr>
      </vt:variant>
      <vt:variant>
        <vt:lpwstr/>
      </vt:variant>
      <vt:variant>
        <vt:i4>6488083</vt:i4>
      </vt:variant>
      <vt:variant>
        <vt:i4>0</vt:i4>
      </vt:variant>
      <vt:variant>
        <vt:i4>0</vt:i4>
      </vt:variant>
      <vt:variant>
        <vt:i4>5</vt:i4>
      </vt:variant>
      <vt:variant>
        <vt:lpwstr>mailto:marketing@vox-power.com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Vox Power Press Release Template</dc:title>
  <dc:subject/>
  <dc:creator>Nicolene Prinsloo</dc:creator>
  <cp:keywords/>
  <dc:description/>
  <cp:lastModifiedBy>Bianca-local</cp:lastModifiedBy>
  <cp:revision>15</cp:revision>
  <cp:lastPrinted>2018-05-15T03:03:00Z</cp:lastPrinted>
  <dcterms:created xsi:type="dcterms:W3CDTF">2024-10-10T13:50:00Z</dcterms:created>
  <dcterms:modified xsi:type="dcterms:W3CDTF">2024-10-17T10:43:00Z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0x010100FD80D676E6E28041B5D376E8526D0060</vt:lpwstr>
  </property>
  <property fmtid="{D5CDD505-2E9C-101B-9397-08002B2CF9AE}" pid="3" name="MediaServiceImageTags">
    <vt:lpwstr/>
  </property>
</Properties>
</file>