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B00" w:rsidRPr="000400ED" w:rsidRDefault="00857B00" w:rsidP="00857B00">
      <w:pPr>
        <w:shd w:val="clear" w:color="auto" w:fill="FFFFFF"/>
        <w:jc w:val="both"/>
        <w:rPr>
          <w:rFonts w:ascii="Calibri" w:hAnsi="Calibri"/>
          <w:b/>
          <w:bCs/>
          <w:color w:val="222222"/>
          <w:sz w:val="32"/>
          <w:szCs w:val="32"/>
          <w:lang w:val="en-US"/>
        </w:rPr>
      </w:pPr>
      <w:bookmarkStart w:id="0" w:name="_GoBack"/>
      <w:r w:rsidRPr="000400ED">
        <w:rPr>
          <w:rFonts w:ascii="Calibri" w:hAnsi="Calibri"/>
          <w:b/>
          <w:bCs/>
          <w:color w:val="222222"/>
          <w:sz w:val="32"/>
          <w:szCs w:val="32"/>
          <w:lang w:val="en-US"/>
        </w:rPr>
        <w:t>Shrinking the Next Generation of IoT Applications</w:t>
      </w:r>
    </w:p>
    <w:bookmarkEnd w:id="0"/>
    <w:p w:rsidR="00857B00" w:rsidRDefault="00857B00" w:rsidP="00857B00">
      <w:pPr>
        <w:spacing w:after="0" w:line="240" w:lineRule="auto"/>
        <w:jc w:val="both"/>
        <w:rPr>
          <w:rFonts w:ascii="Calibri" w:hAnsi="Calibri"/>
          <w:color w:val="000000"/>
          <w:lang w:val="en-US"/>
        </w:rPr>
      </w:pPr>
    </w:p>
    <w:p w:rsidR="00857B00" w:rsidRPr="000400ED" w:rsidRDefault="00857B00" w:rsidP="00857B00">
      <w:pPr>
        <w:spacing w:after="0" w:line="240" w:lineRule="auto"/>
        <w:jc w:val="both"/>
        <w:rPr>
          <w:lang w:val="en-US"/>
        </w:rPr>
      </w:pPr>
      <w:r w:rsidRPr="000400ED">
        <w:rPr>
          <w:lang w:val="en-US"/>
        </w:rPr>
        <w:t>Industry predictions forecasted early generations of IoT applications like Smart Homes, Wearables, Smart Cities, the Connect Car and others.  The next generation with merge the real with the virtual leveraging the synergies of ubiquitous connectivity, cloud computing and Big Data.  Early IoT growth was driven by the individual.  The next phase of IoT evolution prompts the next industrial revolution – Industry 4.0.</w:t>
      </w:r>
    </w:p>
    <w:p w:rsidR="00857B00" w:rsidRPr="000400ED" w:rsidRDefault="00857B00" w:rsidP="00857B00">
      <w:pPr>
        <w:spacing w:after="0" w:line="240" w:lineRule="auto"/>
        <w:jc w:val="both"/>
        <w:rPr>
          <w:lang w:val="en-US"/>
        </w:rPr>
      </w:pPr>
    </w:p>
    <w:p w:rsidR="00857B00" w:rsidRPr="000400ED" w:rsidRDefault="00857B00" w:rsidP="00857B00">
      <w:pPr>
        <w:spacing w:after="0" w:line="240" w:lineRule="auto"/>
        <w:jc w:val="both"/>
        <w:rPr>
          <w:lang w:val="en-US"/>
        </w:rPr>
      </w:pPr>
      <w:r w:rsidRPr="000400ED">
        <w:rPr>
          <w:lang w:val="en-US"/>
        </w:rPr>
        <w:t>Achieving the innovation Industry 4.0 demands forces new approaches to legacy challenges.  Connectivity and automation across the enterprise reign supreme.  Disparate systems require integration.  Stand-alone interfaces and processes need standardization.  New technologies call for research, development and commercialization.  New partners and new suppliers necessitate vetting.</w:t>
      </w:r>
    </w:p>
    <w:p w:rsidR="00857B00" w:rsidRPr="000400ED" w:rsidRDefault="00857B00" w:rsidP="00857B00">
      <w:pPr>
        <w:spacing w:after="0" w:line="240" w:lineRule="auto"/>
        <w:jc w:val="both"/>
        <w:rPr>
          <w:lang w:val="en-US"/>
        </w:rPr>
      </w:pPr>
    </w:p>
    <w:p w:rsidR="00857B00" w:rsidRPr="000400ED" w:rsidRDefault="00857B00" w:rsidP="00857B00">
      <w:pPr>
        <w:spacing w:after="0" w:line="240" w:lineRule="auto"/>
        <w:jc w:val="both"/>
        <w:rPr>
          <w:lang w:val="en-US"/>
        </w:rPr>
      </w:pPr>
      <w:r w:rsidRPr="000400ED">
        <w:rPr>
          <w:lang w:val="en-US"/>
        </w:rPr>
        <w:t xml:space="preserve">Emerging examples from legacy industries adopting new approaches continue to appear.  In recent years, Lufthansa Technik has collaborated with academia, start-ups and in-house specialists to adopt Industry 4.0 concepts in their landing gear, engines and maintenance divisions.  This collaboration has developed various concepts from displaying remote sensor data on mobile devices to efficiently linking different IT systems.  </w:t>
      </w:r>
    </w:p>
    <w:p w:rsidR="00857B00" w:rsidRPr="000400ED" w:rsidRDefault="00857B00" w:rsidP="00857B00">
      <w:pPr>
        <w:spacing w:after="0" w:line="240" w:lineRule="auto"/>
        <w:jc w:val="both"/>
        <w:rPr>
          <w:lang w:val="en-US"/>
        </w:rPr>
      </w:pPr>
    </w:p>
    <w:p w:rsidR="00857B00" w:rsidRPr="000400ED" w:rsidRDefault="00857B00" w:rsidP="00857B00">
      <w:pPr>
        <w:spacing w:after="0" w:line="240" w:lineRule="auto"/>
        <w:jc w:val="both"/>
        <w:rPr>
          <w:lang w:val="en-US"/>
        </w:rPr>
      </w:pPr>
      <w:r w:rsidRPr="000400ED">
        <w:rPr>
          <w:lang w:val="en-US"/>
        </w:rPr>
        <w:t xml:space="preserve">The revolution of Industry 4.0 and the growth of the IoT demand advanced microelectronics innovation.  Cutting-edge applications depend on customized, ruggedized or precision microelectronic packaging and assembly.  OEMs across industries consistently strive to lessen their hardware footprint.  Advanced solutions call for increased functionality and integration.  Some products blend </w:t>
      </w:r>
      <w:proofErr w:type="gramStart"/>
      <w:r w:rsidRPr="000400ED">
        <w:rPr>
          <w:lang w:val="en-US"/>
        </w:rPr>
        <w:t>all of these</w:t>
      </w:r>
      <w:proofErr w:type="gramEnd"/>
      <w:r w:rsidRPr="000400ED">
        <w:rPr>
          <w:lang w:val="en-US"/>
        </w:rPr>
        <w:t xml:space="preserve"> requirements seamlessly.</w:t>
      </w:r>
    </w:p>
    <w:p w:rsidR="00857B00" w:rsidRPr="000400ED" w:rsidRDefault="00857B00" w:rsidP="00857B00">
      <w:pPr>
        <w:spacing w:after="0" w:line="240" w:lineRule="auto"/>
        <w:jc w:val="both"/>
        <w:rPr>
          <w:lang w:val="en-US"/>
        </w:rPr>
      </w:pPr>
    </w:p>
    <w:p w:rsidR="00857B00" w:rsidRPr="000400ED" w:rsidRDefault="00857B00" w:rsidP="00857B00">
      <w:pPr>
        <w:spacing w:after="0" w:line="240" w:lineRule="auto"/>
        <w:jc w:val="both"/>
        <w:rPr>
          <w:lang w:val="en-US"/>
        </w:rPr>
      </w:pPr>
      <w:r w:rsidRPr="000400ED">
        <w:rPr>
          <w:lang w:val="en-US"/>
        </w:rPr>
        <w:t xml:space="preserve">The technology trends driving Industry 4.0 and the IoT force adaptation from traditional OEM suppliers.  Samtec, a global manufacturer of a broad line of electronic interconnect solutions, has developed a growing portfolio of advanced microelectronic capabilities. Samtec Microelectronics combines complex IC packaging and assembly, the superior performance benefits of glass substrates and high frequency design with system level signal integrity to develop next generation microelectronics solutions.  </w:t>
      </w:r>
    </w:p>
    <w:p w:rsidR="00857B00" w:rsidRPr="000400ED" w:rsidRDefault="00857B00" w:rsidP="00857B00">
      <w:pPr>
        <w:spacing w:after="0" w:line="240" w:lineRule="auto"/>
        <w:jc w:val="both"/>
        <w:rPr>
          <w:lang w:val="en-US"/>
        </w:rPr>
      </w:pPr>
    </w:p>
    <w:p w:rsidR="00857B00" w:rsidRPr="000400ED" w:rsidRDefault="00857B00" w:rsidP="00857B00">
      <w:pPr>
        <w:spacing w:after="0" w:line="240" w:lineRule="auto"/>
        <w:jc w:val="both"/>
        <w:rPr>
          <w:lang w:val="en-US"/>
        </w:rPr>
      </w:pPr>
      <w:proofErr w:type="spellStart"/>
      <w:r w:rsidRPr="000400ED">
        <w:rPr>
          <w:lang w:val="en-US"/>
        </w:rPr>
        <w:t>Samtec's</w:t>
      </w:r>
      <w:proofErr w:type="spellEnd"/>
      <w:r w:rsidRPr="000400ED">
        <w:rPr>
          <w:lang w:val="en-US"/>
        </w:rPr>
        <w:t xml:space="preserve"> innovative, world-class products and technologies are optimized for performance, density and cost in various Industry 4.0 applications. Samtec Microelectronics capabilities include advanced IC packaging and assembly, Glass Core Technology™, </w:t>
      </w:r>
      <w:proofErr w:type="spellStart"/>
      <w:r w:rsidRPr="000400ED">
        <w:rPr>
          <w:lang w:val="en-US"/>
        </w:rPr>
        <w:t>nMode</w:t>
      </w:r>
      <w:proofErr w:type="spellEnd"/>
      <w:r w:rsidRPr="000400ED">
        <w:rPr>
          <w:lang w:val="en-US"/>
        </w:rPr>
        <w:t>™ modules and components and microelectronic design services</w:t>
      </w:r>
    </w:p>
    <w:p w:rsidR="00857B00" w:rsidRPr="000400ED" w:rsidRDefault="00857B00" w:rsidP="00857B00">
      <w:pPr>
        <w:spacing w:after="0" w:line="240" w:lineRule="auto"/>
        <w:jc w:val="both"/>
        <w:rPr>
          <w:lang w:val="en-US"/>
        </w:rPr>
      </w:pPr>
    </w:p>
    <w:p w:rsidR="00857B00" w:rsidRPr="000400ED" w:rsidRDefault="00857B00" w:rsidP="00857B00">
      <w:pPr>
        <w:jc w:val="both"/>
        <w:rPr>
          <w:b/>
          <w:lang w:val="en-US"/>
        </w:rPr>
      </w:pPr>
      <w:r w:rsidRPr="000400ED">
        <w:rPr>
          <w:b/>
          <w:lang w:val="en-US"/>
        </w:rPr>
        <w:t>Advanced IC Packaging and Assembly</w:t>
      </w:r>
    </w:p>
    <w:p w:rsidR="00857B00" w:rsidRPr="000400ED" w:rsidRDefault="00857B00" w:rsidP="00857B00">
      <w:pPr>
        <w:spacing w:after="0" w:line="240" w:lineRule="auto"/>
        <w:jc w:val="both"/>
        <w:rPr>
          <w:lang w:val="en-US"/>
        </w:rPr>
      </w:pPr>
      <w:r w:rsidRPr="000400ED">
        <w:rPr>
          <w:lang w:val="en-US"/>
        </w:rPr>
        <w:t>Samtec Microelectronics is a world-class provider of advanced IC packaging and assembly.  Samtec partners with OEMS in the medical, industrial and other IoT application developers around the world whose solutions require increased performance, higher reliability, longer lifetimes and rugged connectivity.</w:t>
      </w:r>
    </w:p>
    <w:p w:rsidR="00857B00" w:rsidRPr="000400ED" w:rsidRDefault="00857B00" w:rsidP="00857B00">
      <w:pPr>
        <w:spacing w:after="0" w:line="240" w:lineRule="auto"/>
        <w:jc w:val="both"/>
        <w:rPr>
          <w:lang w:val="en-US"/>
        </w:rPr>
      </w:pPr>
    </w:p>
    <w:p w:rsidR="00857B00" w:rsidRPr="000400ED" w:rsidRDefault="00857B00" w:rsidP="00857B00">
      <w:pPr>
        <w:spacing w:after="0" w:line="240" w:lineRule="auto"/>
        <w:jc w:val="both"/>
        <w:rPr>
          <w:lang w:val="en-US"/>
        </w:rPr>
      </w:pPr>
      <w:r w:rsidRPr="000400ED">
        <w:rPr>
          <w:lang w:val="en-US"/>
        </w:rPr>
        <w:t xml:space="preserve">Samtec core IC packaging and assembly capabilities include maximum density flip chip and underfill, precision placement </w:t>
      </w:r>
      <w:proofErr w:type="gramStart"/>
      <w:r w:rsidRPr="000400ED">
        <w:rPr>
          <w:lang w:val="en-US"/>
        </w:rPr>
        <w:t>die</w:t>
      </w:r>
      <w:proofErr w:type="gramEnd"/>
      <w:r w:rsidRPr="000400ED">
        <w:rPr>
          <w:lang w:val="en-US"/>
        </w:rPr>
        <w:t xml:space="preserve"> attach, ultra-fine pitch and low profile </w:t>
      </w:r>
      <w:proofErr w:type="spellStart"/>
      <w:r w:rsidRPr="000400ED">
        <w:rPr>
          <w:lang w:val="en-US"/>
        </w:rPr>
        <w:t>wirebonding</w:t>
      </w:r>
      <w:proofErr w:type="spellEnd"/>
      <w:r w:rsidRPr="000400ED">
        <w:rPr>
          <w:lang w:val="en-US"/>
        </w:rPr>
        <w:t xml:space="preserve"> and various finishing capabilities including dam and encapsulation. Table 1 outlines key design features Samtec supports in each capability.</w:t>
      </w:r>
    </w:p>
    <w:p w:rsidR="00857B00" w:rsidRDefault="00857B00" w:rsidP="00857B00">
      <w:pPr>
        <w:shd w:val="clear" w:color="auto" w:fill="FFFFFF"/>
        <w:jc w:val="both"/>
        <w:rPr>
          <w:rFonts w:ascii="Calibri" w:hAnsi="Calibri"/>
          <w:b/>
          <w:bCs/>
          <w:color w:val="222222"/>
          <w:sz w:val="32"/>
          <w:szCs w:val="32"/>
          <w:lang w:val="en-US"/>
        </w:rPr>
      </w:pPr>
    </w:p>
    <w:p w:rsidR="00857B00" w:rsidRDefault="00857B00" w:rsidP="00857B00">
      <w:pPr>
        <w:shd w:val="clear" w:color="auto" w:fill="FFFFFF"/>
        <w:rPr>
          <w:rFonts w:ascii="Calibri" w:hAnsi="Calibri"/>
          <w:b/>
          <w:bCs/>
          <w:color w:val="222222"/>
          <w:sz w:val="32"/>
          <w:szCs w:val="32"/>
          <w:lang w:val="en-US"/>
        </w:rPr>
      </w:pPr>
    </w:p>
    <w:p w:rsidR="00857B00" w:rsidRPr="000400ED" w:rsidRDefault="00857B00" w:rsidP="00857B00">
      <w:pPr>
        <w:shd w:val="clear" w:color="auto" w:fill="FFFFFF"/>
        <w:rPr>
          <w:rFonts w:ascii="Calibri" w:hAnsi="Calibri"/>
          <w:b/>
          <w:bCs/>
          <w:color w:val="222222"/>
          <w:sz w:val="32"/>
          <w:szCs w:val="32"/>
          <w:lang w:val="en-US"/>
        </w:rPr>
      </w:pPr>
      <w:r w:rsidRPr="000400ED">
        <w:rPr>
          <w:rFonts w:ascii="Calibri" w:hAnsi="Calibri"/>
          <w:b/>
          <w:bCs/>
          <w:color w:val="222222"/>
          <w:sz w:val="32"/>
          <w:szCs w:val="32"/>
          <w:lang w:val="en-US"/>
        </w:rPr>
        <w:lastRenderedPageBreak/>
        <w:t>Shrinking the Next Generation of IoT Applications</w:t>
      </w:r>
    </w:p>
    <w:p w:rsidR="00857B00" w:rsidRPr="000400ED" w:rsidRDefault="00857B00" w:rsidP="00857B00">
      <w:pPr>
        <w:spacing w:after="0" w:line="240" w:lineRule="auto"/>
        <w:rPr>
          <w:lang w:val="en-US"/>
        </w:rPr>
      </w:pPr>
    </w:p>
    <w:tbl>
      <w:tblPr>
        <w:tblStyle w:val="Tabellenraster"/>
        <w:tblW w:w="0" w:type="auto"/>
        <w:tblLook w:val="04A0" w:firstRow="1" w:lastRow="0" w:firstColumn="1" w:lastColumn="0" w:noHBand="0" w:noVBand="1"/>
      </w:tblPr>
      <w:tblGrid>
        <w:gridCol w:w="2302"/>
        <w:gridCol w:w="2258"/>
        <w:gridCol w:w="2332"/>
        <w:gridCol w:w="2170"/>
      </w:tblGrid>
      <w:tr w:rsidR="00857B00" w:rsidTr="000334EC">
        <w:tc>
          <w:tcPr>
            <w:tcW w:w="2754" w:type="dxa"/>
          </w:tcPr>
          <w:p w:rsidR="00857B00" w:rsidRDefault="00857B00" w:rsidP="000334EC">
            <w:pPr>
              <w:jc w:val="center"/>
              <w:rPr>
                <w:b/>
              </w:rPr>
            </w:pPr>
            <w:r>
              <w:rPr>
                <w:b/>
                <w:noProof/>
              </w:rPr>
              <w:drawing>
                <wp:inline distT="0" distB="0" distL="0" distR="0" wp14:anchorId="3AEA135A" wp14:editId="40F547F3">
                  <wp:extent cx="1343774" cy="1152525"/>
                  <wp:effectExtent l="0" t="0" r="889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774" cy="1152525"/>
                          </a:xfrm>
                          <a:prstGeom prst="rect">
                            <a:avLst/>
                          </a:prstGeom>
                          <a:noFill/>
                          <a:ln>
                            <a:noFill/>
                          </a:ln>
                        </pic:spPr>
                      </pic:pic>
                    </a:graphicData>
                  </a:graphic>
                </wp:inline>
              </w:drawing>
            </w:r>
          </w:p>
          <w:p w:rsidR="00857B00" w:rsidRPr="00823C1B" w:rsidRDefault="00857B00" w:rsidP="000334EC">
            <w:pPr>
              <w:jc w:val="center"/>
              <w:rPr>
                <w:b/>
              </w:rPr>
            </w:pPr>
            <w:r>
              <w:rPr>
                <w:b/>
              </w:rPr>
              <w:t xml:space="preserve">Flip Chip &amp; </w:t>
            </w:r>
            <w:proofErr w:type="spellStart"/>
            <w:r w:rsidRPr="00823C1B">
              <w:rPr>
                <w:b/>
              </w:rPr>
              <w:t>Underfill</w:t>
            </w:r>
            <w:proofErr w:type="spellEnd"/>
          </w:p>
        </w:tc>
        <w:tc>
          <w:tcPr>
            <w:tcW w:w="2754" w:type="dxa"/>
          </w:tcPr>
          <w:p w:rsidR="00857B00" w:rsidRDefault="00857B00" w:rsidP="000334EC">
            <w:pPr>
              <w:jc w:val="center"/>
              <w:rPr>
                <w:b/>
              </w:rPr>
            </w:pPr>
            <w:r>
              <w:rPr>
                <w:b/>
                <w:noProof/>
              </w:rPr>
              <w:drawing>
                <wp:inline distT="0" distB="0" distL="0" distR="0" wp14:anchorId="1CD61078" wp14:editId="5B42813E">
                  <wp:extent cx="1323975" cy="1135544"/>
                  <wp:effectExtent l="0" t="0" r="0" b="762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135544"/>
                          </a:xfrm>
                          <a:prstGeom prst="rect">
                            <a:avLst/>
                          </a:prstGeom>
                          <a:noFill/>
                          <a:ln>
                            <a:noFill/>
                          </a:ln>
                        </pic:spPr>
                      </pic:pic>
                    </a:graphicData>
                  </a:graphic>
                </wp:inline>
              </w:drawing>
            </w:r>
          </w:p>
          <w:p w:rsidR="00857B00" w:rsidRPr="00823C1B" w:rsidRDefault="00857B00" w:rsidP="000334EC">
            <w:pPr>
              <w:jc w:val="center"/>
              <w:rPr>
                <w:b/>
              </w:rPr>
            </w:pPr>
            <w:r w:rsidRPr="00823C1B">
              <w:rPr>
                <w:b/>
              </w:rPr>
              <w:t xml:space="preserve">Die </w:t>
            </w:r>
            <w:proofErr w:type="spellStart"/>
            <w:r w:rsidRPr="00823C1B">
              <w:rPr>
                <w:b/>
              </w:rPr>
              <w:t>Attach</w:t>
            </w:r>
            <w:proofErr w:type="spellEnd"/>
          </w:p>
        </w:tc>
        <w:tc>
          <w:tcPr>
            <w:tcW w:w="2754" w:type="dxa"/>
          </w:tcPr>
          <w:p w:rsidR="00857B00" w:rsidRPr="00823C1B" w:rsidRDefault="00857B00" w:rsidP="000334EC">
            <w:pPr>
              <w:jc w:val="center"/>
              <w:rPr>
                <w:b/>
              </w:rPr>
            </w:pPr>
            <w:r>
              <w:rPr>
                <w:b/>
                <w:noProof/>
              </w:rPr>
              <w:drawing>
                <wp:inline distT="0" distB="0" distL="0" distR="0" wp14:anchorId="21650376" wp14:editId="3B429AD6">
                  <wp:extent cx="1370251" cy="1159838"/>
                  <wp:effectExtent l="0" t="0" r="1905" b="254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251" cy="1159838"/>
                          </a:xfrm>
                          <a:prstGeom prst="rect">
                            <a:avLst/>
                          </a:prstGeom>
                          <a:noFill/>
                          <a:ln>
                            <a:noFill/>
                          </a:ln>
                        </pic:spPr>
                      </pic:pic>
                    </a:graphicData>
                  </a:graphic>
                </wp:inline>
              </w:drawing>
            </w:r>
            <w:proofErr w:type="spellStart"/>
            <w:r w:rsidRPr="00823C1B">
              <w:rPr>
                <w:b/>
              </w:rPr>
              <w:t>Wirebonding</w:t>
            </w:r>
            <w:proofErr w:type="spellEnd"/>
          </w:p>
        </w:tc>
        <w:tc>
          <w:tcPr>
            <w:tcW w:w="2754" w:type="dxa"/>
          </w:tcPr>
          <w:p w:rsidR="00857B00" w:rsidRDefault="00857B00" w:rsidP="000334EC">
            <w:pPr>
              <w:jc w:val="center"/>
              <w:rPr>
                <w:b/>
              </w:rPr>
            </w:pPr>
            <w:r>
              <w:rPr>
                <w:b/>
                <w:noProof/>
              </w:rPr>
              <w:drawing>
                <wp:inline distT="0" distB="0" distL="0" distR="0" wp14:anchorId="053ADCD6" wp14:editId="3E36B018">
                  <wp:extent cx="1266825" cy="1129229"/>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129229"/>
                          </a:xfrm>
                          <a:prstGeom prst="rect">
                            <a:avLst/>
                          </a:prstGeom>
                          <a:noFill/>
                          <a:ln>
                            <a:noFill/>
                          </a:ln>
                        </pic:spPr>
                      </pic:pic>
                    </a:graphicData>
                  </a:graphic>
                </wp:inline>
              </w:drawing>
            </w:r>
          </w:p>
          <w:p w:rsidR="00857B00" w:rsidRPr="00823C1B" w:rsidRDefault="00857B00" w:rsidP="000334EC">
            <w:pPr>
              <w:jc w:val="center"/>
              <w:rPr>
                <w:b/>
              </w:rPr>
            </w:pPr>
            <w:r w:rsidRPr="00823C1B">
              <w:rPr>
                <w:b/>
              </w:rPr>
              <w:t xml:space="preserve">Dam &amp; </w:t>
            </w:r>
            <w:proofErr w:type="spellStart"/>
            <w:r w:rsidRPr="00823C1B">
              <w:rPr>
                <w:b/>
              </w:rPr>
              <w:t>Encapsulation</w:t>
            </w:r>
            <w:proofErr w:type="spellEnd"/>
          </w:p>
        </w:tc>
      </w:tr>
      <w:tr w:rsidR="00857B00" w:rsidTr="000334EC">
        <w:tc>
          <w:tcPr>
            <w:tcW w:w="2754" w:type="dxa"/>
          </w:tcPr>
          <w:p w:rsidR="00857B00" w:rsidRDefault="00857B00" w:rsidP="000334EC">
            <w:proofErr w:type="spellStart"/>
            <w:r w:rsidRPr="00823C1B">
              <w:t>Accuracy</w:t>
            </w:r>
            <w:proofErr w:type="spellEnd"/>
            <w:r w:rsidRPr="00823C1B">
              <w:t xml:space="preserve"> </w:t>
            </w:r>
            <w:proofErr w:type="spellStart"/>
            <w:r w:rsidRPr="00823C1B">
              <w:t>to</w:t>
            </w:r>
            <w:proofErr w:type="spellEnd"/>
            <w:r w:rsidRPr="00823C1B">
              <w:t xml:space="preserve"> +/-3 </w:t>
            </w:r>
            <w:proofErr w:type="spellStart"/>
            <w:r w:rsidRPr="00823C1B">
              <w:t>microns</w:t>
            </w:r>
            <w:proofErr w:type="spellEnd"/>
          </w:p>
        </w:tc>
        <w:tc>
          <w:tcPr>
            <w:tcW w:w="2754" w:type="dxa"/>
          </w:tcPr>
          <w:p w:rsidR="00857B00" w:rsidRDefault="00857B00" w:rsidP="000334EC">
            <w:proofErr w:type="spellStart"/>
            <w:r w:rsidRPr="00823C1B">
              <w:t>Accuracy</w:t>
            </w:r>
            <w:proofErr w:type="spellEnd"/>
            <w:r w:rsidRPr="00823C1B">
              <w:t xml:space="preserve"> </w:t>
            </w:r>
            <w:proofErr w:type="spellStart"/>
            <w:r w:rsidRPr="00823C1B">
              <w:t>to</w:t>
            </w:r>
            <w:proofErr w:type="spellEnd"/>
            <w:r w:rsidRPr="00823C1B">
              <w:t xml:space="preserve"> +/-3 </w:t>
            </w:r>
            <w:proofErr w:type="spellStart"/>
            <w:r w:rsidRPr="00823C1B">
              <w:t>microns</w:t>
            </w:r>
            <w:proofErr w:type="spellEnd"/>
          </w:p>
        </w:tc>
        <w:tc>
          <w:tcPr>
            <w:tcW w:w="2754" w:type="dxa"/>
          </w:tcPr>
          <w:p w:rsidR="00857B00" w:rsidRPr="000400ED" w:rsidRDefault="00857B00" w:rsidP="000334EC">
            <w:pPr>
              <w:rPr>
                <w:lang w:val="en-US"/>
              </w:rPr>
            </w:pPr>
            <w:r w:rsidRPr="000400ED">
              <w:rPr>
                <w:lang w:val="en-US"/>
              </w:rPr>
              <w:t>Ultra-fine pitch, ultra-</w:t>
            </w:r>
            <w:proofErr w:type="gramStart"/>
            <w:r w:rsidRPr="000400ED">
              <w:rPr>
                <w:lang w:val="en-US"/>
              </w:rPr>
              <w:t>low profile</w:t>
            </w:r>
            <w:proofErr w:type="gramEnd"/>
            <w:r w:rsidRPr="000400ED">
              <w:rPr>
                <w:lang w:val="en-US"/>
              </w:rPr>
              <w:t xml:space="preserve"> ball bond &amp; wedge bond</w:t>
            </w:r>
          </w:p>
        </w:tc>
        <w:tc>
          <w:tcPr>
            <w:tcW w:w="2754" w:type="dxa"/>
          </w:tcPr>
          <w:p w:rsidR="00857B00" w:rsidRDefault="00857B00" w:rsidP="000334EC">
            <w:proofErr w:type="spellStart"/>
            <w:r>
              <w:t>Automated</w:t>
            </w:r>
            <w:proofErr w:type="spellEnd"/>
            <w:r>
              <w:t xml:space="preserve"> </w:t>
            </w:r>
            <w:proofErr w:type="spellStart"/>
            <w:r>
              <w:t>or</w:t>
            </w:r>
            <w:proofErr w:type="spellEnd"/>
            <w:r>
              <w:t xml:space="preserve"> </w:t>
            </w:r>
            <w:proofErr w:type="spellStart"/>
            <w:r>
              <w:t>manual</w:t>
            </w:r>
            <w:proofErr w:type="spellEnd"/>
            <w:r>
              <w:t xml:space="preserve"> </w:t>
            </w:r>
            <w:proofErr w:type="spellStart"/>
            <w:r>
              <w:t>encapsulation</w:t>
            </w:r>
            <w:proofErr w:type="spellEnd"/>
            <w:r>
              <w:t xml:space="preserve"> </w:t>
            </w:r>
          </w:p>
        </w:tc>
      </w:tr>
      <w:tr w:rsidR="00857B00" w:rsidTr="000334EC">
        <w:tc>
          <w:tcPr>
            <w:tcW w:w="2754" w:type="dxa"/>
          </w:tcPr>
          <w:p w:rsidR="00857B00" w:rsidRDefault="00857B00" w:rsidP="000334EC">
            <w:r w:rsidRPr="00823C1B">
              <w:t>Manual, semi-</w:t>
            </w:r>
            <w:proofErr w:type="spellStart"/>
            <w:r w:rsidRPr="00823C1B">
              <w:t>automated</w:t>
            </w:r>
            <w:proofErr w:type="spellEnd"/>
            <w:r w:rsidRPr="00823C1B">
              <w:t xml:space="preserve"> &amp; </w:t>
            </w:r>
            <w:proofErr w:type="spellStart"/>
            <w:r w:rsidRPr="00823C1B">
              <w:t>automated</w:t>
            </w:r>
            <w:proofErr w:type="spellEnd"/>
          </w:p>
        </w:tc>
        <w:tc>
          <w:tcPr>
            <w:tcW w:w="2754" w:type="dxa"/>
          </w:tcPr>
          <w:p w:rsidR="00857B00" w:rsidRDefault="00857B00" w:rsidP="000334EC">
            <w:r w:rsidRPr="00823C1B">
              <w:t>Manual, semi-</w:t>
            </w:r>
            <w:proofErr w:type="spellStart"/>
            <w:r w:rsidRPr="00823C1B">
              <w:t>automated</w:t>
            </w:r>
            <w:proofErr w:type="spellEnd"/>
            <w:r w:rsidRPr="00823C1B">
              <w:t xml:space="preserve"> &amp; </w:t>
            </w:r>
            <w:proofErr w:type="spellStart"/>
            <w:r w:rsidRPr="00823C1B">
              <w:t>automated</w:t>
            </w:r>
            <w:proofErr w:type="spellEnd"/>
          </w:p>
        </w:tc>
        <w:tc>
          <w:tcPr>
            <w:tcW w:w="2754" w:type="dxa"/>
          </w:tcPr>
          <w:p w:rsidR="00857B00" w:rsidRPr="000400ED" w:rsidRDefault="00857B00" w:rsidP="000334EC">
            <w:pPr>
              <w:rPr>
                <w:lang w:val="en-US"/>
              </w:rPr>
            </w:pPr>
            <w:r w:rsidRPr="000400ED">
              <w:rPr>
                <w:lang w:val="en-US"/>
              </w:rPr>
              <w:t>Wire diameters from 19 µm to 50 µm DIA</w:t>
            </w:r>
          </w:p>
        </w:tc>
        <w:tc>
          <w:tcPr>
            <w:tcW w:w="2754" w:type="dxa"/>
          </w:tcPr>
          <w:p w:rsidR="00857B00" w:rsidRDefault="00857B00" w:rsidP="000334EC">
            <w:r>
              <w:t>Dual-</w:t>
            </w:r>
            <w:proofErr w:type="spellStart"/>
            <w:r>
              <w:t>head</w:t>
            </w:r>
            <w:proofErr w:type="spellEnd"/>
            <w:r>
              <w:t xml:space="preserve"> </w:t>
            </w:r>
            <w:proofErr w:type="spellStart"/>
            <w:r>
              <w:t>dispensers</w:t>
            </w:r>
            <w:proofErr w:type="spellEnd"/>
          </w:p>
        </w:tc>
      </w:tr>
      <w:tr w:rsidR="00857B00" w:rsidRPr="00857B00" w:rsidTr="000334EC">
        <w:tc>
          <w:tcPr>
            <w:tcW w:w="2754" w:type="dxa"/>
          </w:tcPr>
          <w:p w:rsidR="00857B00" w:rsidRPr="000400ED" w:rsidRDefault="00857B00" w:rsidP="000334EC">
            <w:pPr>
              <w:rPr>
                <w:lang w:val="en-US"/>
              </w:rPr>
            </w:pPr>
            <w:r w:rsidRPr="000400ED">
              <w:rPr>
                <w:lang w:val="en-US"/>
              </w:rPr>
              <w:t xml:space="preserve">Ceramic, laminate, </w:t>
            </w:r>
            <w:proofErr w:type="spellStart"/>
            <w:r w:rsidRPr="000400ED">
              <w:rPr>
                <w:lang w:val="en-US"/>
              </w:rPr>
              <w:t>HiTCE</w:t>
            </w:r>
            <w:proofErr w:type="spellEnd"/>
            <w:r w:rsidRPr="000400ED">
              <w:rPr>
                <w:lang w:val="en-US"/>
              </w:rPr>
              <w:t xml:space="preserve"> and Si on Si substrates</w:t>
            </w:r>
          </w:p>
        </w:tc>
        <w:tc>
          <w:tcPr>
            <w:tcW w:w="2754" w:type="dxa"/>
          </w:tcPr>
          <w:p w:rsidR="00857B00" w:rsidRPr="000400ED" w:rsidRDefault="00857B00" w:rsidP="000334EC">
            <w:pPr>
              <w:rPr>
                <w:lang w:val="en-US"/>
              </w:rPr>
            </w:pPr>
            <w:r w:rsidRPr="000400ED">
              <w:rPr>
                <w:lang w:val="en-US"/>
              </w:rPr>
              <w:t>High speed, high accuracy dispense &amp; placement systems</w:t>
            </w:r>
          </w:p>
        </w:tc>
        <w:tc>
          <w:tcPr>
            <w:tcW w:w="2754" w:type="dxa"/>
          </w:tcPr>
          <w:p w:rsidR="00857B00" w:rsidRDefault="00857B00" w:rsidP="000334EC">
            <w:r w:rsidRPr="00823C1B">
              <w:t>Au</w:t>
            </w:r>
            <w:r>
              <w:t xml:space="preserve">, </w:t>
            </w:r>
            <w:r w:rsidRPr="00823C1B">
              <w:t>Al</w:t>
            </w:r>
            <w:r>
              <w:t xml:space="preserve">, Pt and </w:t>
            </w:r>
            <w:proofErr w:type="spellStart"/>
            <w:r>
              <w:t>Cu</w:t>
            </w:r>
            <w:proofErr w:type="spellEnd"/>
            <w:r>
              <w:t xml:space="preserve"> </w:t>
            </w:r>
            <w:proofErr w:type="spellStart"/>
            <w:r>
              <w:t>wires</w:t>
            </w:r>
            <w:proofErr w:type="spellEnd"/>
          </w:p>
        </w:tc>
        <w:tc>
          <w:tcPr>
            <w:tcW w:w="2754" w:type="dxa"/>
          </w:tcPr>
          <w:p w:rsidR="00857B00" w:rsidRPr="000400ED" w:rsidRDefault="00857B00" w:rsidP="000334EC">
            <w:pPr>
              <w:rPr>
                <w:lang w:val="en-US"/>
              </w:rPr>
            </w:pPr>
            <w:r w:rsidRPr="000400ED">
              <w:rPr>
                <w:lang w:val="en-US"/>
              </w:rPr>
              <w:t>Temperature control of fluids and substrates</w:t>
            </w:r>
          </w:p>
        </w:tc>
      </w:tr>
      <w:tr w:rsidR="00857B00" w:rsidRPr="00857B00" w:rsidTr="000334EC">
        <w:tc>
          <w:tcPr>
            <w:tcW w:w="2754" w:type="dxa"/>
          </w:tcPr>
          <w:p w:rsidR="00857B00" w:rsidRPr="000400ED" w:rsidRDefault="00857B00" w:rsidP="000334EC">
            <w:pPr>
              <w:rPr>
                <w:lang w:val="en-US"/>
              </w:rPr>
            </w:pPr>
            <w:r w:rsidRPr="000400ED">
              <w:rPr>
                <w:lang w:val="en-US"/>
              </w:rPr>
              <w:t>Gold stud bump thermocompression flip chip</w:t>
            </w:r>
          </w:p>
        </w:tc>
        <w:tc>
          <w:tcPr>
            <w:tcW w:w="2754" w:type="dxa"/>
          </w:tcPr>
          <w:p w:rsidR="00857B00" w:rsidRPr="000400ED" w:rsidRDefault="00857B00" w:rsidP="000334EC">
            <w:pPr>
              <w:rPr>
                <w:lang w:val="en-US"/>
              </w:rPr>
            </w:pPr>
            <w:r w:rsidRPr="000400ED">
              <w:rPr>
                <w:lang w:val="en-US"/>
              </w:rPr>
              <w:t>Fillet control per MIL-STD 883</w:t>
            </w:r>
          </w:p>
        </w:tc>
        <w:tc>
          <w:tcPr>
            <w:tcW w:w="2754" w:type="dxa"/>
          </w:tcPr>
          <w:p w:rsidR="00857B00" w:rsidRPr="000400ED" w:rsidRDefault="00857B00" w:rsidP="000334EC">
            <w:pPr>
              <w:rPr>
                <w:lang w:val="en-US"/>
              </w:rPr>
            </w:pPr>
            <w:r w:rsidRPr="000400ED">
              <w:rPr>
                <w:lang w:val="en-US"/>
              </w:rPr>
              <w:t>SSB (stitch standoff on ball), security bonds and constant gap wedge bonding</w:t>
            </w:r>
          </w:p>
        </w:tc>
        <w:tc>
          <w:tcPr>
            <w:tcW w:w="2754" w:type="dxa"/>
          </w:tcPr>
          <w:p w:rsidR="00857B00" w:rsidRPr="000400ED" w:rsidRDefault="00857B00" w:rsidP="000334EC">
            <w:pPr>
              <w:rPr>
                <w:lang w:val="en-US"/>
              </w:rPr>
            </w:pPr>
            <w:r w:rsidRPr="000400ED">
              <w:rPr>
                <w:lang w:val="en-US"/>
              </w:rPr>
              <w:t>Low out-gassing, low stress &amp; custom materials</w:t>
            </w:r>
          </w:p>
        </w:tc>
      </w:tr>
      <w:tr w:rsidR="00857B00" w:rsidTr="000334EC">
        <w:tc>
          <w:tcPr>
            <w:tcW w:w="2754" w:type="dxa"/>
          </w:tcPr>
          <w:p w:rsidR="00857B00" w:rsidRPr="000400ED" w:rsidRDefault="00857B00" w:rsidP="000334EC">
            <w:pPr>
              <w:rPr>
                <w:lang w:val="en-US"/>
              </w:rPr>
            </w:pPr>
            <w:r w:rsidRPr="000400ED">
              <w:rPr>
                <w:lang w:val="en-US"/>
              </w:rPr>
              <w:t xml:space="preserve">Solder flip chip (Eutectic, high </w:t>
            </w:r>
            <w:proofErr w:type="spellStart"/>
            <w:r w:rsidRPr="000400ED">
              <w:rPr>
                <w:lang w:val="en-US"/>
              </w:rPr>
              <w:t>Pb</w:t>
            </w:r>
            <w:proofErr w:type="spellEnd"/>
            <w:r w:rsidRPr="000400ED">
              <w:rPr>
                <w:lang w:val="en-US"/>
              </w:rPr>
              <w:t xml:space="preserve">, </w:t>
            </w:r>
            <w:proofErr w:type="spellStart"/>
            <w:r w:rsidRPr="000400ED">
              <w:rPr>
                <w:lang w:val="en-US"/>
              </w:rPr>
              <w:t>Pb</w:t>
            </w:r>
            <w:proofErr w:type="spellEnd"/>
            <w:r w:rsidRPr="000400ED">
              <w:rPr>
                <w:lang w:val="en-US"/>
              </w:rPr>
              <w:t xml:space="preserve">-free </w:t>
            </w:r>
            <w:proofErr w:type="spellStart"/>
            <w:r w:rsidRPr="000400ED">
              <w:rPr>
                <w:lang w:val="en-US"/>
              </w:rPr>
              <w:t>RoHs</w:t>
            </w:r>
            <w:proofErr w:type="spellEnd"/>
            <w:r w:rsidRPr="000400ED">
              <w:rPr>
                <w:lang w:val="en-US"/>
              </w:rPr>
              <w:t>)</w:t>
            </w:r>
          </w:p>
        </w:tc>
        <w:tc>
          <w:tcPr>
            <w:tcW w:w="2754" w:type="dxa"/>
          </w:tcPr>
          <w:p w:rsidR="00857B00" w:rsidRDefault="00857B00" w:rsidP="000334EC">
            <w:proofErr w:type="spellStart"/>
            <w:r w:rsidRPr="00823C1B">
              <w:t>Epoxy</w:t>
            </w:r>
            <w:proofErr w:type="spellEnd"/>
            <w:r w:rsidRPr="00823C1B">
              <w:t xml:space="preserve"> </w:t>
            </w:r>
            <w:proofErr w:type="spellStart"/>
            <w:r w:rsidRPr="00823C1B">
              <w:t>attach</w:t>
            </w:r>
            <w:proofErr w:type="spellEnd"/>
          </w:p>
        </w:tc>
        <w:tc>
          <w:tcPr>
            <w:tcW w:w="2754" w:type="dxa"/>
          </w:tcPr>
          <w:p w:rsidR="00857B00" w:rsidRDefault="00857B00" w:rsidP="000334EC">
            <w:proofErr w:type="spellStart"/>
            <w:r w:rsidRPr="00823C1B">
              <w:t>Stacked</w:t>
            </w:r>
            <w:proofErr w:type="spellEnd"/>
            <w:r w:rsidRPr="00823C1B">
              <w:t xml:space="preserve"> die </w:t>
            </w:r>
            <w:proofErr w:type="spellStart"/>
            <w:r w:rsidRPr="00823C1B">
              <w:t>wire</w:t>
            </w:r>
            <w:proofErr w:type="spellEnd"/>
            <w:r w:rsidRPr="00823C1B">
              <w:t xml:space="preserve"> </w:t>
            </w:r>
            <w:proofErr w:type="spellStart"/>
            <w:r w:rsidRPr="00823C1B">
              <w:t>bonding</w:t>
            </w:r>
            <w:proofErr w:type="spellEnd"/>
          </w:p>
        </w:tc>
        <w:tc>
          <w:tcPr>
            <w:tcW w:w="2754" w:type="dxa"/>
          </w:tcPr>
          <w:p w:rsidR="00857B00" w:rsidRDefault="00857B00" w:rsidP="000334EC">
            <w:r>
              <w:t xml:space="preserve">Custom </w:t>
            </w:r>
            <w:proofErr w:type="spellStart"/>
            <w:r>
              <w:t>processing</w:t>
            </w:r>
            <w:proofErr w:type="spellEnd"/>
          </w:p>
        </w:tc>
      </w:tr>
      <w:tr w:rsidR="00857B00" w:rsidTr="000334EC">
        <w:tc>
          <w:tcPr>
            <w:tcW w:w="2754" w:type="dxa"/>
          </w:tcPr>
          <w:p w:rsidR="00857B00" w:rsidRDefault="00857B00" w:rsidP="000334EC">
            <w:proofErr w:type="spellStart"/>
            <w:r w:rsidRPr="00823C1B">
              <w:t>Thermocompression</w:t>
            </w:r>
            <w:proofErr w:type="spellEnd"/>
            <w:r w:rsidRPr="00823C1B">
              <w:t xml:space="preserve"> </w:t>
            </w:r>
            <w:proofErr w:type="spellStart"/>
            <w:r w:rsidRPr="00823C1B">
              <w:t>flip</w:t>
            </w:r>
            <w:proofErr w:type="spellEnd"/>
            <w:r w:rsidRPr="00823C1B">
              <w:t xml:space="preserve"> </w:t>
            </w:r>
            <w:proofErr w:type="spellStart"/>
            <w:r w:rsidRPr="00823C1B">
              <w:t>chip</w:t>
            </w:r>
            <w:proofErr w:type="spellEnd"/>
          </w:p>
        </w:tc>
        <w:tc>
          <w:tcPr>
            <w:tcW w:w="2754" w:type="dxa"/>
          </w:tcPr>
          <w:p w:rsidR="00857B00" w:rsidRPr="000400ED" w:rsidRDefault="00857B00" w:rsidP="000334EC">
            <w:pPr>
              <w:rPr>
                <w:lang w:val="en-US"/>
              </w:rPr>
            </w:pPr>
            <w:r w:rsidRPr="000400ED">
              <w:rPr>
                <w:lang w:val="en-US"/>
              </w:rPr>
              <w:t>Isotropic &amp; anisotropic adhesives, low out-gassing, low stress &amp; custom materials, UV cure adhesives, dicing die-attach films</w:t>
            </w:r>
          </w:p>
        </w:tc>
        <w:tc>
          <w:tcPr>
            <w:tcW w:w="2754" w:type="dxa"/>
          </w:tcPr>
          <w:p w:rsidR="00857B00" w:rsidRPr="00823C1B" w:rsidRDefault="00857B00" w:rsidP="000334EC">
            <w:r w:rsidRPr="00823C1B">
              <w:t xml:space="preserve">Multi-chip </w:t>
            </w:r>
            <w:proofErr w:type="spellStart"/>
            <w:r w:rsidRPr="00823C1B">
              <w:t>modules</w:t>
            </w:r>
            <w:proofErr w:type="spellEnd"/>
          </w:p>
        </w:tc>
        <w:tc>
          <w:tcPr>
            <w:tcW w:w="2754" w:type="dxa"/>
          </w:tcPr>
          <w:p w:rsidR="00857B00" w:rsidRDefault="00857B00" w:rsidP="000334EC">
            <w:r>
              <w:t xml:space="preserve">Thermal </w:t>
            </w:r>
            <w:proofErr w:type="spellStart"/>
            <w:r>
              <w:t>or</w:t>
            </w:r>
            <w:proofErr w:type="spellEnd"/>
            <w:r>
              <w:t xml:space="preserve"> UV </w:t>
            </w:r>
            <w:proofErr w:type="spellStart"/>
            <w:r>
              <w:t>cure</w:t>
            </w:r>
            <w:proofErr w:type="spellEnd"/>
          </w:p>
        </w:tc>
      </w:tr>
      <w:tr w:rsidR="00857B00" w:rsidRPr="00857B00" w:rsidTr="000334EC">
        <w:tc>
          <w:tcPr>
            <w:tcW w:w="2754" w:type="dxa"/>
          </w:tcPr>
          <w:p w:rsidR="00857B00" w:rsidRPr="000400ED" w:rsidRDefault="00857B00" w:rsidP="000334EC">
            <w:pPr>
              <w:rPr>
                <w:lang w:val="en-US"/>
              </w:rPr>
            </w:pPr>
            <w:r w:rsidRPr="000400ED">
              <w:rPr>
                <w:lang w:val="en-US"/>
              </w:rPr>
              <w:t>Adhesive attach flip chip (anisotropic Z-axis adhesives and films)</w:t>
            </w:r>
          </w:p>
        </w:tc>
        <w:tc>
          <w:tcPr>
            <w:tcW w:w="2754" w:type="dxa"/>
          </w:tcPr>
          <w:p w:rsidR="00857B00" w:rsidRDefault="00857B00" w:rsidP="000334EC">
            <w:r w:rsidRPr="00823C1B">
              <w:t xml:space="preserve">Custom </w:t>
            </w:r>
            <w:proofErr w:type="spellStart"/>
            <w:r w:rsidRPr="00823C1B">
              <w:t>processing</w:t>
            </w:r>
            <w:proofErr w:type="spellEnd"/>
          </w:p>
        </w:tc>
        <w:tc>
          <w:tcPr>
            <w:tcW w:w="2754" w:type="dxa"/>
          </w:tcPr>
          <w:p w:rsidR="00857B00" w:rsidRDefault="00857B00" w:rsidP="000334EC">
            <w:r w:rsidRPr="00823C1B">
              <w:t>Signal Integrity support</w:t>
            </w:r>
          </w:p>
          <w:p w:rsidR="00857B00" w:rsidRPr="00823C1B" w:rsidRDefault="00857B00" w:rsidP="000334EC">
            <w:pPr>
              <w:ind w:firstLine="720"/>
            </w:pPr>
          </w:p>
        </w:tc>
        <w:tc>
          <w:tcPr>
            <w:tcW w:w="2754" w:type="dxa"/>
          </w:tcPr>
          <w:p w:rsidR="00857B00" w:rsidRPr="000400ED" w:rsidRDefault="00857B00" w:rsidP="000334EC">
            <w:pPr>
              <w:rPr>
                <w:lang w:val="en-US"/>
              </w:rPr>
            </w:pPr>
            <w:r w:rsidRPr="000400ED">
              <w:rPr>
                <w:lang w:val="en-US"/>
              </w:rPr>
              <w:t>CSAM validation: in-house acoustic microscopy analysis</w:t>
            </w:r>
          </w:p>
        </w:tc>
      </w:tr>
      <w:tr w:rsidR="00857B00" w:rsidTr="000334EC">
        <w:tc>
          <w:tcPr>
            <w:tcW w:w="2754" w:type="dxa"/>
          </w:tcPr>
          <w:p w:rsidR="00857B00" w:rsidRDefault="00857B00" w:rsidP="000334EC">
            <w:proofErr w:type="spellStart"/>
            <w:r w:rsidRPr="00823C1B">
              <w:t>Capillary</w:t>
            </w:r>
            <w:proofErr w:type="spellEnd"/>
            <w:r w:rsidRPr="00823C1B">
              <w:t xml:space="preserve"> and </w:t>
            </w:r>
            <w:proofErr w:type="spellStart"/>
            <w:r w:rsidRPr="00823C1B">
              <w:t>jet</w:t>
            </w:r>
            <w:proofErr w:type="spellEnd"/>
            <w:r w:rsidRPr="00823C1B">
              <w:t xml:space="preserve"> </w:t>
            </w:r>
            <w:proofErr w:type="spellStart"/>
            <w:r w:rsidRPr="00823C1B">
              <w:t>underfill</w:t>
            </w:r>
            <w:proofErr w:type="spellEnd"/>
          </w:p>
        </w:tc>
        <w:tc>
          <w:tcPr>
            <w:tcW w:w="2754" w:type="dxa"/>
          </w:tcPr>
          <w:p w:rsidR="00857B00" w:rsidRDefault="00857B00" w:rsidP="000334EC">
            <w:proofErr w:type="spellStart"/>
            <w:r w:rsidRPr="00823C1B">
              <w:t>Dispensed</w:t>
            </w:r>
            <w:proofErr w:type="spellEnd"/>
            <w:r w:rsidRPr="00823C1B">
              <w:t xml:space="preserve">, </w:t>
            </w:r>
            <w:proofErr w:type="spellStart"/>
            <w:r w:rsidRPr="00823C1B">
              <w:t>tapes</w:t>
            </w:r>
            <w:proofErr w:type="spellEnd"/>
            <w:r w:rsidRPr="00823C1B">
              <w:t xml:space="preserve"> </w:t>
            </w:r>
            <w:proofErr w:type="spellStart"/>
            <w:r w:rsidRPr="00823C1B">
              <w:t>or</w:t>
            </w:r>
            <w:proofErr w:type="spellEnd"/>
            <w:r w:rsidRPr="00823C1B">
              <w:t xml:space="preserve"> </w:t>
            </w:r>
            <w:proofErr w:type="spellStart"/>
            <w:r w:rsidRPr="00823C1B">
              <w:t>preforms</w:t>
            </w:r>
            <w:proofErr w:type="spellEnd"/>
          </w:p>
        </w:tc>
        <w:tc>
          <w:tcPr>
            <w:tcW w:w="2754" w:type="dxa"/>
          </w:tcPr>
          <w:p w:rsidR="00857B00" w:rsidRDefault="00857B00" w:rsidP="000334EC"/>
        </w:tc>
        <w:tc>
          <w:tcPr>
            <w:tcW w:w="2754" w:type="dxa"/>
          </w:tcPr>
          <w:p w:rsidR="00857B00" w:rsidRDefault="00857B00" w:rsidP="000334EC">
            <w:r>
              <w:t xml:space="preserve">Laser </w:t>
            </w:r>
            <w:proofErr w:type="spellStart"/>
            <w:r>
              <w:t>marking</w:t>
            </w:r>
            <w:proofErr w:type="spellEnd"/>
            <w:r>
              <w:t>/</w:t>
            </w:r>
            <w:proofErr w:type="spellStart"/>
            <w:r>
              <w:t>ink</w:t>
            </w:r>
            <w:proofErr w:type="spellEnd"/>
            <w:r>
              <w:t xml:space="preserve"> </w:t>
            </w:r>
            <w:proofErr w:type="spellStart"/>
            <w:r>
              <w:t>marking</w:t>
            </w:r>
            <w:proofErr w:type="spellEnd"/>
          </w:p>
        </w:tc>
      </w:tr>
      <w:tr w:rsidR="00857B00" w:rsidTr="000334EC">
        <w:tc>
          <w:tcPr>
            <w:tcW w:w="2754" w:type="dxa"/>
          </w:tcPr>
          <w:p w:rsidR="00857B00" w:rsidRDefault="00857B00" w:rsidP="000334EC"/>
        </w:tc>
        <w:tc>
          <w:tcPr>
            <w:tcW w:w="2754" w:type="dxa"/>
          </w:tcPr>
          <w:p w:rsidR="00857B00" w:rsidRPr="000400ED" w:rsidRDefault="00857B00" w:rsidP="000334EC">
            <w:pPr>
              <w:rPr>
                <w:lang w:val="en-US"/>
              </w:rPr>
            </w:pPr>
            <w:r w:rsidRPr="000400ED">
              <w:rPr>
                <w:lang w:val="en-US"/>
              </w:rPr>
              <w:t>CSAM validation: in-house acoustic microscopy analysis</w:t>
            </w:r>
          </w:p>
        </w:tc>
        <w:tc>
          <w:tcPr>
            <w:tcW w:w="2754" w:type="dxa"/>
          </w:tcPr>
          <w:p w:rsidR="00857B00" w:rsidRPr="000400ED" w:rsidRDefault="00857B00" w:rsidP="000334EC">
            <w:pPr>
              <w:rPr>
                <w:lang w:val="en-US"/>
              </w:rPr>
            </w:pPr>
          </w:p>
        </w:tc>
        <w:tc>
          <w:tcPr>
            <w:tcW w:w="2754" w:type="dxa"/>
          </w:tcPr>
          <w:p w:rsidR="00857B00" w:rsidRDefault="00857B00" w:rsidP="000334EC">
            <w:proofErr w:type="spellStart"/>
            <w:r>
              <w:t>Conductive</w:t>
            </w:r>
            <w:proofErr w:type="spellEnd"/>
            <w:r>
              <w:t>/non-</w:t>
            </w:r>
            <w:proofErr w:type="spellStart"/>
            <w:r>
              <w:t>conductive</w:t>
            </w:r>
            <w:proofErr w:type="spellEnd"/>
            <w:r>
              <w:t xml:space="preserve"> </w:t>
            </w:r>
            <w:proofErr w:type="spellStart"/>
            <w:r>
              <w:t>lids</w:t>
            </w:r>
            <w:proofErr w:type="spellEnd"/>
          </w:p>
        </w:tc>
      </w:tr>
      <w:tr w:rsidR="00857B00" w:rsidTr="000334EC">
        <w:tc>
          <w:tcPr>
            <w:tcW w:w="2754" w:type="dxa"/>
          </w:tcPr>
          <w:p w:rsidR="00857B00" w:rsidRDefault="00857B00" w:rsidP="000334EC"/>
        </w:tc>
        <w:tc>
          <w:tcPr>
            <w:tcW w:w="2754" w:type="dxa"/>
          </w:tcPr>
          <w:p w:rsidR="00857B00" w:rsidRDefault="00857B00" w:rsidP="000334EC"/>
        </w:tc>
        <w:tc>
          <w:tcPr>
            <w:tcW w:w="2754" w:type="dxa"/>
          </w:tcPr>
          <w:p w:rsidR="00857B00" w:rsidRDefault="00857B00" w:rsidP="000334EC"/>
        </w:tc>
        <w:tc>
          <w:tcPr>
            <w:tcW w:w="2754" w:type="dxa"/>
          </w:tcPr>
          <w:p w:rsidR="00857B00" w:rsidRDefault="00857B00" w:rsidP="000334EC">
            <w:proofErr w:type="spellStart"/>
            <w:r>
              <w:t>Automated</w:t>
            </w:r>
            <w:proofErr w:type="spellEnd"/>
            <w:r>
              <w:t xml:space="preserve"> &amp; </w:t>
            </w:r>
            <w:proofErr w:type="spellStart"/>
            <w:r>
              <w:t>manual</w:t>
            </w:r>
            <w:proofErr w:type="spellEnd"/>
            <w:r>
              <w:t xml:space="preserve"> </w:t>
            </w:r>
            <w:proofErr w:type="spellStart"/>
            <w:r>
              <w:t>lid</w:t>
            </w:r>
            <w:proofErr w:type="spellEnd"/>
            <w:r>
              <w:t xml:space="preserve"> </w:t>
            </w:r>
            <w:proofErr w:type="spellStart"/>
            <w:r>
              <w:t>attach</w:t>
            </w:r>
            <w:proofErr w:type="spellEnd"/>
            <w:r>
              <w:t xml:space="preserve"> </w:t>
            </w:r>
          </w:p>
        </w:tc>
      </w:tr>
      <w:tr w:rsidR="00857B00" w:rsidTr="000334EC">
        <w:tc>
          <w:tcPr>
            <w:tcW w:w="2754" w:type="dxa"/>
          </w:tcPr>
          <w:p w:rsidR="00857B00" w:rsidRDefault="00857B00" w:rsidP="000334EC"/>
        </w:tc>
        <w:tc>
          <w:tcPr>
            <w:tcW w:w="2754" w:type="dxa"/>
          </w:tcPr>
          <w:p w:rsidR="00857B00" w:rsidRDefault="00857B00" w:rsidP="000334EC"/>
        </w:tc>
        <w:tc>
          <w:tcPr>
            <w:tcW w:w="2754" w:type="dxa"/>
          </w:tcPr>
          <w:p w:rsidR="00857B00" w:rsidRDefault="00857B00" w:rsidP="000334EC"/>
        </w:tc>
        <w:tc>
          <w:tcPr>
            <w:tcW w:w="2754" w:type="dxa"/>
          </w:tcPr>
          <w:p w:rsidR="00857B00" w:rsidRDefault="00857B00" w:rsidP="000334EC">
            <w:proofErr w:type="spellStart"/>
            <w:r>
              <w:t>Hermetic</w:t>
            </w:r>
            <w:proofErr w:type="spellEnd"/>
            <w:r>
              <w:t xml:space="preserve"> </w:t>
            </w:r>
            <w:proofErr w:type="spellStart"/>
            <w:r>
              <w:t>sealing</w:t>
            </w:r>
            <w:proofErr w:type="spellEnd"/>
          </w:p>
        </w:tc>
      </w:tr>
    </w:tbl>
    <w:p w:rsidR="00857B00" w:rsidRPr="000400ED" w:rsidRDefault="00857B00" w:rsidP="00857B00">
      <w:pPr>
        <w:pStyle w:val="Beschriftung"/>
        <w:rPr>
          <w:lang w:val="en-US"/>
        </w:rPr>
      </w:pPr>
      <w:r w:rsidRPr="000400ED">
        <w:rPr>
          <w:lang w:val="en-US"/>
        </w:rPr>
        <w:t xml:space="preserve">Table </w:t>
      </w:r>
      <w:r>
        <w:fldChar w:fldCharType="begin"/>
      </w:r>
      <w:r w:rsidRPr="000400ED">
        <w:rPr>
          <w:lang w:val="en-US"/>
        </w:rPr>
        <w:instrText xml:space="preserve"> SEQ Table \* ARABIC </w:instrText>
      </w:r>
      <w:r>
        <w:fldChar w:fldCharType="separate"/>
      </w:r>
      <w:r>
        <w:rPr>
          <w:noProof/>
          <w:lang w:val="en-US"/>
        </w:rPr>
        <w:t>1</w:t>
      </w:r>
      <w:r>
        <w:rPr>
          <w:noProof/>
        </w:rPr>
        <w:fldChar w:fldCharType="end"/>
      </w:r>
      <w:r w:rsidRPr="000400ED">
        <w:rPr>
          <w:lang w:val="en-US"/>
        </w:rPr>
        <w:t xml:space="preserve"> - Samtec Microelectronics IC Packaging and Assembly Capabilities</w:t>
      </w:r>
    </w:p>
    <w:p w:rsidR="00857B00" w:rsidRDefault="00857B00" w:rsidP="00857B00">
      <w:pPr>
        <w:shd w:val="clear" w:color="auto" w:fill="FFFFFF"/>
        <w:rPr>
          <w:rFonts w:ascii="Calibri" w:hAnsi="Calibri"/>
          <w:b/>
          <w:bCs/>
          <w:color w:val="222222"/>
          <w:sz w:val="32"/>
          <w:szCs w:val="32"/>
          <w:lang w:val="en-US"/>
        </w:rPr>
      </w:pPr>
    </w:p>
    <w:p w:rsidR="00857B00" w:rsidRDefault="00857B00" w:rsidP="00857B00">
      <w:pPr>
        <w:shd w:val="clear" w:color="auto" w:fill="FFFFFF"/>
        <w:rPr>
          <w:rFonts w:ascii="Calibri" w:hAnsi="Calibri"/>
          <w:b/>
          <w:bCs/>
          <w:color w:val="222222"/>
          <w:sz w:val="32"/>
          <w:szCs w:val="32"/>
          <w:lang w:val="en-US"/>
        </w:rPr>
      </w:pPr>
    </w:p>
    <w:p w:rsidR="00857B00" w:rsidRPr="000400ED" w:rsidRDefault="00857B00" w:rsidP="00857B00">
      <w:pPr>
        <w:shd w:val="clear" w:color="auto" w:fill="FFFFFF"/>
        <w:jc w:val="both"/>
        <w:rPr>
          <w:rFonts w:ascii="Calibri" w:hAnsi="Calibri"/>
          <w:b/>
          <w:bCs/>
          <w:color w:val="222222"/>
          <w:sz w:val="32"/>
          <w:szCs w:val="32"/>
          <w:lang w:val="en-US"/>
        </w:rPr>
      </w:pPr>
      <w:r w:rsidRPr="000400ED">
        <w:rPr>
          <w:rFonts w:ascii="Calibri" w:hAnsi="Calibri"/>
          <w:b/>
          <w:bCs/>
          <w:color w:val="222222"/>
          <w:sz w:val="32"/>
          <w:szCs w:val="32"/>
          <w:lang w:val="en-US"/>
        </w:rPr>
        <w:lastRenderedPageBreak/>
        <w:t>Shrinking the Next Generation of IoT Applications</w:t>
      </w:r>
    </w:p>
    <w:p w:rsidR="00857B00" w:rsidRPr="000400ED" w:rsidRDefault="00857B00" w:rsidP="00857B00">
      <w:pPr>
        <w:spacing w:after="0" w:line="240" w:lineRule="auto"/>
        <w:jc w:val="both"/>
        <w:rPr>
          <w:lang w:val="en-US"/>
        </w:rPr>
      </w:pPr>
    </w:p>
    <w:p w:rsidR="00857B00" w:rsidRDefault="00857B00" w:rsidP="00857B00">
      <w:pPr>
        <w:spacing w:after="0" w:line="240" w:lineRule="auto"/>
        <w:jc w:val="both"/>
      </w:pPr>
      <w:r w:rsidRPr="000400ED">
        <w:rPr>
          <w:lang w:val="en-US"/>
        </w:rPr>
        <w:t xml:space="preserve">In addition to basic IC packaging and assembly processes, Samtec unmatched design support in advanced IC packaging and assembly applications.   </w:t>
      </w:r>
      <w:proofErr w:type="spellStart"/>
      <w:r>
        <w:t>Some</w:t>
      </w:r>
      <w:proofErr w:type="spellEnd"/>
      <w:r>
        <w:t xml:space="preserve"> </w:t>
      </w:r>
      <w:proofErr w:type="spellStart"/>
      <w:r>
        <w:t>of</w:t>
      </w:r>
      <w:proofErr w:type="spellEnd"/>
      <w:r>
        <w:t xml:space="preserve"> </w:t>
      </w:r>
      <w:proofErr w:type="spellStart"/>
      <w:r>
        <w:t>these</w:t>
      </w:r>
      <w:proofErr w:type="spellEnd"/>
      <w:r>
        <w:t xml:space="preserve"> design </w:t>
      </w:r>
      <w:proofErr w:type="spellStart"/>
      <w:r>
        <w:t>services</w:t>
      </w:r>
      <w:proofErr w:type="spellEnd"/>
      <w:r>
        <w:t xml:space="preserve"> </w:t>
      </w:r>
      <w:proofErr w:type="spellStart"/>
      <w:r>
        <w:t>include</w:t>
      </w:r>
      <w:proofErr w:type="spellEnd"/>
      <w:r>
        <w:t>:</w:t>
      </w:r>
    </w:p>
    <w:p w:rsidR="00857B00" w:rsidRPr="003E678B" w:rsidRDefault="00857B00" w:rsidP="00857B00">
      <w:pPr>
        <w:spacing w:after="0" w:line="240" w:lineRule="auto"/>
        <w:jc w:val="both"/>
      </w:pPr>
    </w:p>
    <w:p w:rsidR="00857B00" w:rsidRDefault="00857B00" w:rsidP="00857B00">
      <w:pPr>
        <w:pStyle w:val="Listenabsatz"/>
        <w:numPr>
          <w:ilvl w:val="0"/>
          <w:numId w:val="3"/>
        </w:numPr>
        <w:spacing w:after="0" w:line="240" w:lineRule="auto"/>
        <w:jc w:val="both"/>
      </w:pPr>
      <w:r>
        <w:t xml:space="preserve">Package Design &amp; Analysis: </w:t>
      </w:r>
    </w:p>
    <w:p w:rsidR="00857B00" w:rsidRPr="000400ED" w:rsidRDefault="00857B00" w:rsidP="00857B00">
      <w:pPr>
        <w:pStyle w:val="Listenabsatz"/>
        <w:numPr>
          <w:ilvl w:val="1"/>
          <w:numId w:val="3"/>
        </w:numPr>
        <w:spacing w:after="0" w:line="240" w:lineRule="auto"/>
        <w:jc w:val="both"/>
        <w:rPr>
          <w:lang w:val="en-US"/>
        </w:rPr>
      </w:pPr>
      <w:r w:rsidRPr="000400ED">
        <w:rPr>
          <w:lang w:val="en-US"/>
        </w:rPr>
        <w:t>Simulation of critical channels to validate implementation and signaling requirements</w:t>
      </w:r>
    </w:p>
    <w:p w:rsidR="00857B00" w:rsidRDefault="00857B00" w:rsidP="00857B00">
      <w:pPr>
        <w:pStyle w:val="Listenabsatz"/>
        <w:numPr>
          <w:ilvl w:val="0"/>
          <w:numId w:val="3"/>
        </w:numPr>
        <w:spacing w:after="0" w:line="240" w:lineRule="auto"/>
        <w:jc w:val="both"/>
      </w:pPr>
      <w:r>
        <w:t xml:space="preserve">Power Integrity: </w:t>
      </w:r>
    </w:p>
    <w:p w:rsidR="00857B00" w:rsidRPr="000400ED" w:rsidRDefault="00857B00" w:rsidP="00857B00">
      <w:pPr>
        <w:pStyle w:val="Listenabsatz"/>
        <w:numPr>
          <w:ilvl w:val="1"/>
          <w:numId w:val="3"/>
        </w:numPr>
        <w:spacing w:after="0" w:line="240" w:lineRule="auto"/>
        <w:jc w:val="both"/>
        <w:rPr>
          <w:lang w:val="en-US"/>
        </w:rPr>
      </w:pPr>
      <w:r w:rsidRPr="000400ED">
        <w:rPr>
          <w:lang w:val="en-US"/>
        </w:rPr>
        <w:t>AC &amp; DC power delivery analysis; recommendations for via placement, copper thickness and bypass capacitors</w:t>
      </w:r>
    </w:p>
    <w:p w:rsidR="00857B00" w:rsidRDefault="00857B00" w:rsidP="00857B00">
      <w:pPr>
        <w:pStyle w:val="Listenabsatz"/>
        <w:numPr>
          <w:ilvl w:val="0"/>
          <w:numId w:val="3"/>
        </w:numPr>
        <w:spacing w:after="0" w:line="240" w:lineRule="auto"/>
        <w:jc w:val="both"/>
      </w:pPr>
      <w:r>
        <w:t xml:space="preserve">PCB Transition </w:t>
      </w:r>
      <w:proofErr w:type="spellStart"/>
      <w:r>
        <w:t>Structures</w:t>
      </w:r>
      <w:proofErr w:type="spellEnd"/>
      <w:r>
        <w:t>:</w:t>
      </w:r>
    </w:p>
    <w:p w:rsidR="00857B00" w:rsidRPr="000400ED" w:rsidRDefault="00857B00" w:rsidP="00857B00">
      <w:pPr>
        <w:pStyle w:val="Listenabsatz"/>
        <w:numPr>
          <w:ilvl w:val="1"/>
          <w:numId w:val="3"/>
        </w:numPr>
        <w:spacing w:after="0" w:line="240" w:lineRule="auto"/>
        <w:jc w:val="both"/>
        <w:rPr>
          <w:lang w:val="en-US"/>
        </w:rPr>
      </w:pPr>
      <w:r w:rsidRPr="000400ED">
        <w:rPr>
          <w:lang w:val="en-US"/>
        </w:rPr>
        <w:t>Designs engineered to minimize signaling effects of transitions from package to PCB</w:t>
      </w:r>
    </w:p>
    <w:p w:rsidR="00857B00" w:rsidRDefault="00857B00" w:rsidP="00857B00">
      <w:pPr>
        <w:pStyle w:val="Listenabsatz"/>
        <w:numPr>
          <w:ilvl w:val="0"/>
          <w:numId w:val="3"/>
        </w:numPr>
        <w:spacing w:after="0" w:line="240" w:lineRule="auto"/>
        <w:jc w:val="both"/>
      </w:pPr>
      <w:proofErr w:type="spellStart"/>
      <w:r>
        <w:t>Complex</w:t>
      </w:r>
      <w:proofErr w:type="spellEnd"/>
      <w:r>
        <w:t xml:space="preserve"> </w:t>
      </w:r>
      <w:proofErr w:type="spellStart"/>
      <w:r>
        <w:t>Packaging</w:t>
      </w:r>
      <w:proofErr w:type="spellEnd"/>
      <w:r>
        <w:t xml:space="preserve"> &amp; Substrate Design: </w:t>
      </w:r>
    </w:p>
    <w:p w:rsidR="00857B00" w:rsidRPr="000400ED" w:rsidRDefault="00857B00" w:rsidP="00857B00">
      <w:pPr>
        <w:pStyle w:val="Listenabsatz"/>
        <w:numPr>
          <w:ilvl w:val="1"/>
          <w:numId w:val="3"/>
        </w:numPr>
        <w:spacing w:after="0" w:line="240" w:lineRule="auto"/>
        <w:jc w:val="both"/>
        <w:rPr>
          <w:lang w:val="en-US"/>
        </w:rPr>
      </w:pPr>
      <w:r w:rsidRPr="000400ED">
        <w:rPr>
          <w:lang w:val="en-US"/>
        </w:rPr>
        <w:t>Custom 2D, 3D, stacked die, MCMs, MEMS, Microfluidic MEMS</w:t>
      </w:r>
    </w:p>
    <w:p w:rsidR="00857B00" w:rsidRDefault="00857B00" w:rsidP="00857B00">
      <w:pPr>
        <w:pStyle w:val="Listenabsatz"/>
        <w:numPr>
          <w:ilvl w:val="0"/>
          <w:numId w:val="3"/>
        </w:numPr>
        <w:spacing w:after="0" w:line="240" w:lineRule="auto"/>
        <w:jc w:val="both"/>
      </w:pPr>
      <w:r>
        <w:t xml:space="preserve">In-house </w:t>
      </w:r>
      <w:proofErr w:type="spellStart"/>
      <w:r>
        <w:t>Optics</w:t>
      </w:r>
      <w:proofErr w:type="spellEnd"/>
      <w:r>
        <w:t xml:space="preserve"> Expertise: </w:t>
      </w:r>
    </w:p>
    <w:p w:rsidR="00857B00" w:rsidRPr="000400ED" w:rsidRDefault="00857B00" w:rsidP="00857B00">
      <w:pPr>
        <w:pStyle w:val="Listenabsatz"/>
        <w:numPr>
          <w:ilvl w:val="1"/>
          <w:numId w:val="3"/>
        </w:numPr>
        <w:spacing w:after="0" w:line="240" w:lineRule="auto"/>
        <w:jc w:val="both"/>
        <w:rPr>
          <w:lang w:val="en-US"/>
        </w:rPr>
      </w:pPr>
      <w:r w:rsidRPr="000400ED">
        <w:rPr>
          <w:lang w:val="en-US"/>
        </w:rPr>
        <w:t>Support for applications integrating ICs with high-performance optical assemblies</w:t>
      </w:r>
    </w:p>
    <w:p w:rsidR="00857B00" w:rsidRPr="000400ED" w:rsidRDefault="00857B00" w:rsidP="00857B00">
      <w:pPr>
        <w:spacing w:after="0" w:line="240" w:lineRule="auto"/>
        <w:jc w:val="both"/>
        <w:rPr>
          <w:lang w:val="en-US"/>
        </w:rPr>
      </w:pPr>
    </w:p>
    <w:p w:rsidR="00857B00" w:rsidRPr="000400ED" w:rsidRDefault="00857B00" w:rsidP="00857B00">
      <w:pPr>
        <w:spacing w:after="0" w:line="240" w:lineRule="auto"/>
        <w:jc w:val="both"/>
        <w:rPr>
          <w:lang w:val="en-US"/>
        </w:rPr>
      </w:pPr>
      <w:r w:rsidRPr="000400ED">
        <w:rPr>
          <w:lang w:val="en-US"/>
        </w:rPr>
        <w:t xml:space="preserve">In combination with </w:t>
      </w:r>
      <w:proofErr w:type="spellStart"/>
      <w:r w:rsidRPr="000400ED">
        <w:rPr>
          <w:lang w:val="en-US"/>
        </w:rPr>
        <w:t>Teraspeed</w:t>
      </w:r>
      <w:proofErr w:type="spellEnd"/>
      <w:r w:rsidRPr="000400ED">
        <w:rPr>
          <w:lang w:val="en-US"/>
        </w:rPr>
        <w:t xml:space="preserve">® Consulting, Samtec also offer development partnerships and complete program support for the entire product life cycle from concept through the design phase into small prototype builds and into full-volume production. This collaboration offers unprecedented support for advanced microelectronics packaging design, simulation and analysis expertise that enables IC application optimization. </w:t>
      </w:r>
    </w:p>
    <w:p w:rsidR="00857B00" w:rsidRPr="000400ED" w:rsidRDefault="00857B00" w:rsidP="00857B00">
      <w:pPr>
        <w:spacing w:after="0" w:line="240" w:lineRule="auto"/>
        <w:jc w:val="both"/>
        <w:rPr>
          <w:b/>
          <w:lang w:val="en-US"/>
        </w:rPr>
      </w:pPr>
    </w:p>
    <w:p w:rsidR="00857B00" w:rsidRPr="000400ED" w:rsidRDefault="00857B00" w:rsidP="00857B00">
      <w:pPr>
        <w:jc w:val="both"/>
        <w:rPr>
          <w:b/>
          <w:lang w:val="en-US"/>
        </w:rPr>
      </w:pPr>
      <w:r w:rsidRPr="000400ED">
        <w:rPr>
          <w:b/>
          <w:lang w:val="en-US"/>
        </w:rPr>
        <w:t>Glass Core Technology™</w:t>
      </w:r>
    </w:p>
    <w:p w:rsidR="00857B00" w:rsidRPr="000400ED" w:rsidRDefault="00857B00" w:rsidP="00857B00">
      <w:pPr>
        <w:spacing w:after="0" w:line="240" w:lineRule="auto"/>
        <w:contextualSpacing/>
        <w:mirrorIndents/>
        <w:jc w:val="both"/>
        <w:rPr>
          <w:lang w:val="en-US"/>
        </w:rPr>
      </w:pPr>
      <w:r w:rsidRPr="000400ED">
        <w:rPr>
          <w:lang w:val="en-US"/>
        </w:rPr>
        <w:t>Advanced IC packaging and assembly techniques customized for specific applications will remain an option for OEMs innovating optimized performance.  Numerous emerging Industry 4.0 and IoT applications have reduced form-factors specifications.  Material selection at the IC and substrate level can influence the system-level performance and size for these solutions.</w:t>
      </w:r>
    </w:p>
    <w:p w:rsidR="00857B00" w:rsidRPr="000400ED" w:rsidRDefault="00857B00" w:rsidP="00857B00">
      <w:pPr>
        <w:spacing w:after="0" w:line="240" w:lineRule="auto"/>
        <w:contextualSpacing/>
        <w:mirrorIndents/>
        <w:jc w:val="both"/>
        <w:rPr>
          <w:rFonts w:ascii="Calibri" w:hAnsi="Calibri"/>
          <w:color w:val="000000"/>
          <w:lang w:val="en-US"/>
        </w:rPr>
      </w:pPr>
      <w:r w:rsidRPr="000400ED">
        <w:rPr>
          <w:lang w:val="en-US"/>
        </w:rPr>
        <w:t xml:space="preserve">Glass substrates are quickly becoming an ideal solution in these areas.  Glass provides many benefits when compared to traditional </w:t>
      </w:r>
      <w:r w:rsidRPr="000400ED">
        <w:rPr>
          <w:rFonts w:ascii="Calibri" w:hAnsi="Calibri"/>
          <w:color w:val="000000"/>
          <w:lang w:val="en-US"/>
        </w:rPr>
        <w:t xml:space="preserve">compared to traditional silicon and organic substrates.  </w:t>
      </w:r>
      <w:r w:rsidRPr="000400ED">
        <w:rPr>
          <w:lang w:val="en-US"/>
        </w:rPr>
        <w:t xml:space="preserve">It </w:t>
      </w:r>
      <w:r w:rsidRPr="000400ED">
        <w:rPr>
          <w:rFonts w:ascii="Calibri" w:hAnsi="Calibri"/>
          <w:color w:val="000000"/>
          <w:lang w:val="en-US"/>
        </w:rPr>
        <w:t xml:space="preserve">is an excellent low loss, lower cost solution.  It provides a solid processing infrastructure for IC packaging applications. </w:t>
      </w:r>
    </w:p>
    <w:p w:rsidR="00857B00" w:rsidRPr="000400ED" w:rsidRDefault="00857B00" w:rsidP="00857B00">
      <w:pPr>
        <w:spacing w:after="0" w:line="240" w:lineRule="auto"/>
        <w:contextualSpacing/>
        <w:mirrorIndents/>
        <w:jc w:val="both"/>
        <w:rPr>
          <w:rFonts w:ascii="Calibri" w:hAnsi="Calibri"/>
          <w:color w:val="000000"/>
          <w:lang w:val="en-US"/>
        </w:rPr>
      </w:pPr>
    </w:p>
    <w:p w:rsidR="00857B00" w:rsidRPr="000400ED" w:rsidRDefault="00857B00" w:rsidP="00857B00">
      <w:pPr>
        <w:spacing w:after="0" w:line="240" w:lineRule="auto"/>
        <w:contextualSpacing/>
        <w:mirrorIndents/>
        <w:jc w:val="both"/>
        <w:rPr>
          <w:rFonts w:ascii="Calibri" w:hAnsi="Calibri"/>
          <w:color w:val="000000"/>
          <w:lang w:val="en-US"/>
        </w:rPr>
      </w:pPr>
      <w:r w:rsidRPr="000400ED">
        <w:rPr>
          <w:rFonts w:ascii="Calibri" w:hAnsi="Calibri"/>
          <w:color w:val="000000"/>
          <w:lang w:val="en-US"/>
        </w:rPr>
        <w:t>Additional benefits of glass substrates include:</w:t>
      </w:r>
    </w:p>
    <w:p w:rsidR="00857B00" w:rsidRPr="000400ED" w:rsidRDefault="00857B00" w:rsidP="00857B00">
      <w:pPr>
        <w:spacing w:after="0" w:line="240" w:lineRule="auto"/>
        <w:contextualSpacing/>
        <w:mirrorIndents/>
        <w:jc w:val="both"/>
        <w:rPr>
          <w:rFonts w:ascii="Calibri" w:hAnsi="Calibri"/>
          <w:color w:val="000000"/>
          <w:lang w:val="en-US"/>
        </w:rPr>
      </w:pPr>
    </w:p>
    <w:p w:rsidR="00857B00" w:rsidRPr="002A1CEA" w:rsidRDefault="00857B00" w:rsidP="00857B00">
      <w:pPr>
        <w:pStyle w:val="Listenabsatz"/>
        <w:numPr>
          <w:ilvl w:val="0"/>
          <w:numId w:val="2"/>
        </w:numPr>
        <w:spacing w:after="0" w:line="240" w:lineRule="auto"/>
        <w:mirrorIndents/>
        <w:jc w:val="both"/>
        <w:rPr>
          <w:rFonts w:ascii="Calibri" w:hAnsi="Calibri"/>
          <w:color w:val="000000"/>
        </w:rPr>
      </w:pPr>
      <w:proofErr w:type="spellStart"/>
      <w:r w:rsidRPr="002A1CEA">
        <w:rPr>
          <w:rFonts w:ascii="Calibri" w:hAnsi="Calibri"/>
          <w:color w:val="000000"/>
        </w:rPr>
        <w:t>Electrical</w:t>
      </w:r>
      <w:proofErr w:type="spellEnd"/>
      <w:r w:rsidRPr="002A1CEA">
        <w:rPr>
          <w:rFonts w:ascii="Calibri" w:hAnsi="Calibri"/>
          <w:color w:val="000000"/>
        </w:rPr>
        <w:t xml:space="preserve"> </w:t>
      </w:r>
      <w:proofErr w:type="spellStart"/>
      <w:r w:rsidRPr="002A1CEA">
        <w:rPr>
          <w:rFonts w:ascii="Calibri" w:hAnsi="Calibri"/>
          <w:color w:val="000000"/>
        </w:rPr>
        <w:t>conductivity</w:t>
      </w:r>
      <w:proofErr w:type="spellEnd"/>
    </w:p>
    <w:p w:rsidR="00857B00" w:rsidRPr="002A1CEA" w:rsidRDefault="00857B00" w:rsidP="00857B00">
      <w:pPr>
        <w:pStyle w:val="Listenabsatz"/>
        <w:numPr>
          <w:ilvl w:val="0"/>
          <w:numId w:val="2"/>
        </w:numPr>
        <w:spacing w:after="0" w:line="240" w:lineRule="auto"/>
        <w:mirrorIndents/>
        <w:jc w:val="both"/>
        <w:rPr>
          <w:rFonts w:ascii="Calibri" w:hAnsi="Calibri"/>
          <w:color w:val="000000"/>
        </w:rPr>
      </w:pPr>
      <w:r w:rsidRPr="002A1CEA">
        <w:rPr>
          <w:rFonts w:ascii="Calibri" w:hAnsi="Calibri"/>
          <w:color w:val="000000"/>
        </w:rPr>
        <w:t xml:space="preserve">TCE </w:t>
      </w:r>
      <w:proofErr w:type="spellStart"/>
      <w:r w:rsidRPr="002A1CEA">
        <w:rPr>
          <w:rFonts w:ascii="Calibri" w:hAnsi="Calibri"/>
          <w:color w:val="000000"/>
        </w:rPr>
        <w:t>match</w:t>
      </w:r>
      <w:proofErr w:type="spellEnd"/>
      <w:r w:rsidRPr="002A1CEA">
        <w:rPr>
          <w:rFonts w:ascii="Calibri" w:hAnsi="Calibri"/>
          <w:color w:val="000000"/>
        </w:rPr>
        <w:t xml:space="preserve"> </w:t>
      </w:r>
      <w:proofErr w:type="spellStart"/>
      <w:r w:rsidRPr="002A1CEA">
        <w:rPr>
          <w:rFonts w:ascii="Calibri" w:hAnsi="Calibri"/>
          <w:color w:val="000000"/>
        </w:rPr>
        <w:t>to</w:t>
      </w:r>
      <w:proofErr w:type="spellEnd"/>
      <w:r w:rsidRPr="002A1CEA">
        <w:rPr>
          <w:rFonts w:ascii="Calibri" w:hAnsi="Calibri"/>
          <w:color w:val="000000"/>
        </w:rPr>
        <w:t xml:space="preserve"> </w:t>
      </w:r>
      <w:proofErr w:type="spellStart"/>
      <w:r w:rsidRPr="002A1CEA">
        <w:rPr>
          <w:rFonts w:ascii="Calibri" w:hAnsi="Calibri"/>
          <w:color w:val="000000"/>
        </w:rPr>
        <w:t>the</w:t>
      </w:r>
      <w:proofErr w:type="spellEnd"/>
      <w:r w:rsidRPr="002A1CEA">
        <w:rPr>
          <w:rFonts w:ascii="Calibri" w:hAnsi="Calibri"/>
          <w:color w:val="000000"/>
        </w:rPr>
        <w:t xml:space="preserve"> </w:t>
      </w:r>
      <w:proofErr w:type="spellStart"/>
      <w:r w:rsidRPr="002A1CEA">
        <w:rPr>
          <w:rFonts w:ascii="Calibri" w:hAnsi="Calibri"/>
          <w:color w:val="000000"/>
        </w:rPr>
        <w:t>glass</w:t>
      </w:r>
      <w:proofErr w:type="spellEnd"/>
    </w:p>
    <w:p w:rsidR="00857B00" w:rsidRPr="000400ED" w:rsidRDefault="00857B00" w:rsidP="00857B00">
      <w:pPr>
        <w:pStyle w:val="Listenabsatz"/>
        <w:numPr>
          <w:ilvl w:val="0"/>
          <w:numId w:val="2"/>
        </w:numPr>
        <w:spacing w:after="0" w:line="240" w:lineRule="auto"/>
        <w:mirrorIndents/>
        <w:jc w:val="both"/>
        <w:rPr>
          <w:rFonts w:ascii="Calibri" w:hAnsi="Calibri"/>
          <w:color w:val="000000"/>
          <w:lang w:val="en-US"/>
        </w:rPr>
      </w:pPr>
      <w:r w:rsidRPr="000400ED">
        <w:rPr>
          <w:rFonts w:ascii="Calibri" w:hAnsi="Calibri"/>
          <w:color w:val="000000"/>
          <w:lang w:val="en-US"/>
        </w:rPr>
        <w:t>Increased reliability of large I/O dies with fine pitches</w:t>
      </w:r>
    </w:p>
    <w:p w:rsidR="00857B00" w:rsidRPr="002A1CEA" w:rsidRDefault="00857B00" w:rsidP="00857B00">
      <w:pPr>
        <w:pStyle w:val="Listenabsatz"/>
        <w:numPr>
          <w:ilvl w:val="0"/>
          <w:numId w:val="2"/>
        </w:numPr>
        <w:spacing w:after="0" w:line="240" w:lineRule="auto"/>
        <w:mirrorIndents/>
        <w:jc w:val="both"/>
        <w:rPr>
          <w:rFonts w:ascii="Calibri" w:hAnsi="Calibri"/>
          <w:color w:val="000000"/>
        </w:rPr>
      </w:pPr>
      <w:r w:rsidRPr="002A1CEA">
        <w:rPr>
          <w:rFonts w:ascii="Calibri" w:hAnsi="Calibri"/>
          <w:color w:val="000000"/>
        </w:rPr>
        <w:t>Low warp</w:t>
      </w:r>
    </w:p>
    <w:p w:rsidR="00857B00" w:rsidRPr="002A1CEA" w:rsidRDefault="00857B00" w:rsidP="00857B00">
      <w:pPr>
        <w:pStyle w:val="Listenabsatz"/>
        <w:numPr>
          <w:ilvl w:val="0"/>
          <w:numId w:val="2"/>
        </w:numPr>
        <w:spacing w:after="0" w:line="240" w:lineRule="auto"/>
        <w:mirrorIndents/>
        <w:jc w:val="both"/>
        <w:rPr>
          <w:rFonts w:ascii="Calibri" w:hAnsi="Calibri"/>
          <w:color w:val="000000"/>
        </w:rPr>
      </w:pPr>
      <w:proofErr w:type="spellStart"/>
      <w:r w:rsidRPr="002A1CEA">
        <w:rPr>
          <w:rFonts w:ascii="Calibri" w:hAnsi="Calibri"/>
          <w:color w:val="000000"/>
        </w:rPr>
        <w:t>Hermetic</w:t>
      </w:r>
      <w:proofErr w:type="spellEnd"/>
      <w:r w:rsidRPr="002A1CEA">
        <w:rPr>
          <w:rFonts w:ascii="Calibri" w:hAnsi="Calibri"/>
          <w:color w:val="000000"/>
        </w:rPr>
        <w:t xml:space="preserve"> </w:t>
      </w:r>
      <w:proofErr w:type="spellStart"/>
      <w:r w:rsidRPr="002A1CEA">
        <w:rPr>
          <w:rFonts w:ascii="Calibri" w:hAnsi="Calibri"/>
          <w:color w:val="000000"/>
        </w:rPr>
        <w:t>Cu-based</w:t>
      </w:r>
      <w:proofErr w:type="spellEnd"/>
      <w:r w:rsidRPr="002A1CEA">
        <w:rPr>
          <w:rFonts w:ascii="Calibri" w:hAnsi="Calibri"/>
          <w:color w:val="000000"/>
        </w:rPr>
        <w:t xml:space="preserve"> </w:t>
      </w:r>
      <w:proofErr w:type="spellStart"/>
      <w:r w:rsidRPr="002A1CEA">
        <w:rPr>
          <w:rFonts w:ascii="Calibri" w:hAnsi="Calibri"/>
          <w:color w:val="000000"/>
        </w:rPr>
        <w:t>vias</w:t>
      </w:r>
      <w:proofErr w:type="spellEnd"/>
    </w:p>
    <w:p w:rsidR="00857B00" w:rsidRPr="002A1CEA" w:rsidRDefault="00857B00" w:rsidP="00857B00">
      <w:pPr>
        <w:pStyle w:val="Listenabsatz"/>
        <w:numPr>
          <w:ilvl w:val="0"/>
          <w:numId w:val="2"/>
        </w:numPr>
        <w:spacing w:after="0" w:line="240" w:lineRule="auto"/>
        <w:mirrorIndents/>
        <w:jc w:val="both"/>
        <w:rPr>
          <w:rFonts w:ascii="Calibri" w:hAnsi="Calibri"/>
          <w:color w:val="000000"/>
        </w:rPr>
      </w:pPr>
      <w:proofErr w:type="spellStart"/>
      <w:r w:rsidRPr="002A1CEA">
        <w:rPr>
          <w:rFonts w:ascii="Calibri" w:hAnsi="Calibri"/>
          <w:color w:val="000000"/>
        </w:rPr>
        <w:t>Reduced</w:t>
      </w:r>
      <w:proofErr w:type="spellEnd"/>
      <w:r w:rsidRPr="002A1CEA">
        <w:rPr>
          <w:rFonts w:ascii="Calibri" w:hAnsi="Calibri"/>
          <w:color w:val="000000"/>
        </w:rPr>
        <w:t xml:space="preserve"> </w:t>
      </w:r>
      <w:proofErr w:type="spellStart"/>
      <w:r w:rsidRPr="002A1CEA">
        <w:rPr>
          <w:rFonts w:ascii="Calibri" w:hAnsi="Calibri"/>
          <w:color w:val="000000"/>
        </w:rPr>
        <w:t>wafer</w:t>
      </w:r>
      <w:proofErr w:type="spellEnd"/>
      <w:r w:rsidRPr="002A1CEA">
        <w:rPr>
          <w:rFonts w:ascii="Calibri" w:hAnsi="Calibri"/>
          <w:color w:val="000000"/>
        </w:rPr>
        <w:t xml:space="preserve"> </w:t>
      </w:r>
      <w:proofErr w:type="spellStart"/>
      <w:r w:rsidRPr="002A1CEA">
        <w:rPr>
          <w:rFonts w:ascii="Calibri" w:hAnsi="Calibri"/>
          <w:color w:val="000000"/>
        </w:rPr>
        <w:t>breakage</w:t>
      </w:r>
      <w:proofErr w:type="spellEnd"/>
    </w:p>
    <w:p w:rsidR="00857B00" w:rsidRPr="002A1CEA" w:rsidRDefault="00857B00" w:rsidP="00857B00">
      <w:pPr>
        <w:pStyle w:val="Listenabsatz"/>
        <w:numPr>
          <w:ilvl w:val="0"/>
          <w:numId w:val="2"/>
        </w:numPr>
        <w:spacing w:after="0" w:line="240" w:lineRule="auto"/>
        <w:mirrorIndents/>
        <w:jc w:val="both"/>
        <w:rPr>
          <w:rFonts w:ascii="Calibri" w:hAnsi="Calibri"/>
          <w:color w:val="000000"/>
        </w:rPr>
      </w:pPr>
      <w:r w:rsidRPr="002A1CEA">
        <w:rPr>
          <w:rFonts w:ascii="Calibri" w:hAnsi="Calibri"/>
          <w:color w:val="000000"/>
        </w:rPr>
        <w:t xml:space="preserve">Thermal </w:t>
      </w:r>
      <w:proofErr w:type="spellStart"/>
      <w:r w:rsidRPr="002A1CEA">
        <w:rPr>
          <w:rFonts w:ascii="Calibri" w:hAnsi="Calibri"/>
          <w:color w:val="000000"/>
        </w:rPr>
        <w:t>cycling</w:t>
      </w:r>
      <w:proofErr w:type="spellEnd"/>
      <w:r w:rsidRPr="002A1CEA">
        <w:rPr>
          <w:rFonts w:ascii="Calibri" w:hAnsi="Calibri"/>
          <w:color w:val="000000"/>
        </w:rPr>
        <w:t xml:space="preserve"> </w:t>
      </w:r>
      <w:proofErr w:type="spellStart"/>
      <w:r w:rsidRPr="002A1CEA">
        <w:rPr>
          <w:rFonts w:ascii="Calibri" w:hAnsi="Calibri"/>
          <w:color w:val="000000"/>
        </w:rPr>
        <w:t>reliability</w:t>
      </w:r>
      <w:proofErr w:type="spellEnd"/>
    </w:p>
    <w:p w:rsidR="00857B00" w:rsidRPr="000400ED" w:rsidRDefault="00857B00" w:rsidP="00857B00">
      <w:pPr>
        <w:pStyle w:val="Listenabsatz"/>
        <w:numPr>
          <w:ilvl w:val="0"/>
          <w:numId w:val="2"/>
        </w:numPr>
        <w:spacing w:after="0" w:line="240" w:lineRule="auto"/>
        <w:mirrorIndents/>
        <w:jc w:val="both"/>
        <w:rPr>
          <w:lang w:val="en-US"/>
        </w:rPr>
      </w:pPr>
      <w:r w:rsidRPr="000400ED">
        <w:rPr>
          <w:rFonts w:ascii="Calibri" w:hAnsi="Calibri"/>
          <w:color w:val="000000"/>
          <w:lang w:val="en-US"/>
        </w:rPr>
        <w:t xml:space="preserve">Improved thermal conductivity </w:t>
      </w:r>
      <w:proofErr w:type="spellStart"/>
      <w:r w:rsidRPr="000400ED">
        <w:rPr>
          <w:rFonts w:ascii="Calibri" w:hAnsi="Calibri"/>
          <w:color w:val="000000"/>
          <w:lang w:val="en-US"/>
        </w:rPr>
        <w:t>vias</w:t>
      </w:r>
      <w:proofErr w:type="spellEnd"/>
      <w:r w:rsidRPr="000400ED">
        <w:rPr>
          <w:rFonts w:ascii="Calibri" w:hAnsi="Calibri"/>
          <w:color w:val="000000"/>
          <w:lang w:val="en-US"/>
        </w:rPr>
        <w:t xml:space="preserve"> for logic, power or other applications </w:t>
      </w:r>
    </w:p>
    <w:p w:rsidR="00857B00" w:rsidRPr="000400ED" w:rsidRDefault="00857B00" w:rsidP="00857B00">
      <w:pPr>
        <w:spacing w:after="0" w:line="240" w:lineRule="auto"/>
        <w:mirrorIndents/>
        <w:jc w:val="both"/>
        <w:rPr>
          <w:lang w:val="en-US"/>
        </w:rPr>
      </w:pPr>
    </w:p>
    <w:p w:rsidR="00857B00" w:rsidRPr="000400ED" w:rsidRDefault="00857B00" w:rsidP="00857B00">
      <w:pPr>
        <w:spacing w:after="0" w:line="240" w:lineRule="auto"/>
        <w:contextualSpacing/>
        <w:mirrorIndents/>
        <w:jc w:val="both"/>
        <w:rPr>
          <w:lang w:val="en-US"/>
        </w:rPr>
      </w:pPr>
      <w:proofErr w:type="spellStart"/>
      <w:r w:rsidRPr="000400ED">
        <w:rPr>
          <w:lang w:val="en-US"/>
        </w:rPr>
        <w:t>Samtec’s</w:t>
      </w:r>
      <w:proofErr w:type="spellEnd"/>
      <w:r w:rsidRPr="000400ED">
        <w:rPr>
          <w:lang w:val="en-US"/>
        </w:rPr>
        <w:t xml:space="preserve"> Glass Core Technology™(GCT) is a proprietary process that leverages the performance benefits of glass by creating small diameter, fine pitch, high density metalized and hermetically sealed Through-Glass </w:t>
      </w:r>
      <w:proofErr w:type="spellStart"/>
      <w:r w:rsidRPr="000400ED">
        <w:rPr>
          <w:lang w:val="en-US"/>
        </w:rPr>
        <w:t>Vias</w:t>
      </w:r>
      <w:proofErr w:type="spellEnd"/>
      <w:r w:rsidRPr="000400ED">
        <w:rPr>
          <w:lang w:val="en-US"/>
        </w:rPr>
        <w:t xml:space="preserve"> (TGVs).  Benefits of the TGVs include:</w:t>
      </w:r>
    </w:p>
    <w:p w:rsidR="00857B00" w:rsidRDefault="00857B00" w:rsidP="00857B00">
      <w:pPr>
        <w:shd w:val="clear" w:color="auto" w:fill="FFFFFF"/>
        <w:jc w:val="both"/>
        <w:rPr>
          <w:rFonts w:ascii="Calibri" w:hAnsi="Calibri"/>
          <w:b/>
          <w:bCs/>
          <w:color w:val="222222"/>
          <w:sz w:val="32"/>
          <w:szCs w:val="32"/>
          <w:lang w:val="en-US"/>
        </w:rPr>
      </w:pPr>
    </w:p>
    <w:p w:rsidR="00857B00" w:rsidRDefault="00857B00" w:rsidP="00857B00">
      <w:pPr>
        <w:shd w:val="clear" w:color="auto" w:fill="FFFFFF"/>
        <w:jc w:val="both"/>
        <w:rPr>
          <w:rFonts w:ascii="Calibri" w:hAnsi="Calibri"/>
          <w:b/>
          <w:bCs/>
          <w:color w:val="222222"/>
          <w:sz w:val="32"/>
          <w:szCs w:val="32"/>
          <w:lang w:val="en-US"/>
        </w:rPr>
      </w:pPr>
    </w:p>
    <w:p w:rsidR="00857B00" w:rsidRPr="000400ED" w:rsidRDefault="00857B00" w:rsidP="00857B00">
      <w:pPr>
        <w:shd w:val="clear" w:color="auto" w:fill="FFFFFF"/>
        <w:jc w:val="both"/>
        <w:rPr>
          <w:rFonts w:ascii="Calibri" w:hAnsi="Calibri"/>
          <w:b/>
          <w:bCs/>
          <w:color w:val="222222"/>
          <w:sz w:val="32"/>
          <w:szCs w:val="32"/>
          <w:lang w:val="en-US"/>
        </w:rPr>
      </w:pPr>
      <w:r w:rsidRPr="000400ED">
        <w:rPr>
          <w:rFonts w:ascii="Calibri" w:hAnsi="Calibri"/>
          <w:b/>
          <w:bCs/>
          <w:color w:val="222222"/>
          <w:sz w:val="32"/>
          <w:szCs w:val="32"/>
          <w:lang w:val="en-US"/>
        </w:rPr>
        <w:lastRenderedPageBreak/>
        <w:t>Shrinking the Next Generation of IoT Applications</w:t>
      </w:r>
    </w:p>
    <w:p w:rsidR="00857B00" w:rsidRPr="000400ED" w:rsidRDefault="00857B00" w:rsidP="00857B00">
      <w:pPr>
        <w:spacing w:after="0" w:line="240" w:lineRule="auto"/>
        <w:contextualSpacing/>
        <w:mirrorIndents/>
        <w:jc w:val="both"/>
        <w:rPr>
          <w:lang w:val="en-US"/>
        </w:rPr>
      </w:pPr>
      <w:r>
        <w:rPr>
          <w:rFonts w:ascii="Calibri" w:hAnsi="Calibri"/>
          <w:noProof/>
          <w:color w:val="000000"/>
        </w:rPr>
        <w:drawing>
          <wp:anchor distT="0" distB="0" distL="114300" distR="114300" simplePos="0" relativeHeight="251659264" behindDoc="0" locked="0" layoutInCell="1" allowOverlap="1" wp14:anchorId="530E64F4" wp14:editId="6A43D57B">
            <wp:simplePos x="0" y="0"/>
            <wp:positionH relativeFrom="column">
              <wp:posOffset>4417695</wp:posOffset>
            </wp:positionH>
            <wp:positionV relativeFrom="paragraph">
              <wp:posOffset>11430</wp:posOffset>
            </wp:positionV>
            <wp:extent cx="1438910" cy="1219200"/>
            <wp:effectExtent l="0" t="0" r="8890" b="0"/>
            <wp:wrapSquare wrapText="bothSides"/>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7B00" w:rsidRPr="00472B51" w:rsidRDefault="00857B00" w:rsidP="00857B00">
      <w:pPr>
        <w:pStyle w:val="Listenabsatz"/>
        <w:numPr>
          <w:ilvl w:val="0"/>
          <w:numId w:val="4"/>
        </w:numPr>
        <w:spacing w:after="0" w:line="240" w:lineRule="auto"/>
        <w:mirrorIndents/>
        <w:jc w:val="both"/>
        <w:rPr>
          <w:rFonts w:ascii="Calibri" w:hAnsi="Calibri"/>
          <w:color w:val="000000"/>
        </w:rPr>
      </w:pPr>
      <w:proofErr w:type="spellStart"/>
      <w:r w:rsidRPr="00472B51">
        <w:rPr>
          <w:rFonts w:ascii="Calibri" w:hAnsi="Calibri"/>
          <w:color w:val="000000"/>
        </w:rPr>
        <w:t>Hermetic</w:t>
      </w:r>
      <w:proofErr w:type="spellEnd"/>
      <w:r w:rsidRPr="00472B51">
        <w:rPr>
          <w:rFonts w:ascii="Calibri" w:hAnsi="Calibri"/>
          <w:color w:val="000000"/>
        </w:rPr>
        <w:t xml:space="preserve"> / high </w:t>
      </w:r>
      <w:proofErr w:type="spellStart"/>
      <w:r w:rsidRPr="00472B51">
        <w:rPr>
          <w:rFonts w:ascii="Calibri" w:hAnsi="Calibri"/>
          <w:color w:val="000000"/>
        </w:rPr>
        <w:t>conductivity</w:t>
      </w:r>
      <w:proofErr w:type="spellEnd"/>
      <w:r w:rsidRPr="00472B51">
        <w:rPr>
          <w:rFonts w:ascii="Calibri" w:hAnsi="Calibri"/>
          <w:color w:val="000000"/>
        </w:rPr>
        <w:t xml:space="preserve"> </w:t>
      </w:r>
      <w:proofErr w:type="spellStart"/>
      <w:r w:rsidRPr="00472B51">
        <w:rPr>
          <w:rFonts w:ascii="Calibri" w:hAnsi="Calibri"/>
          <w:color w:val="000000"/>
        </w:rPr>
        <w:t>vias</w:t>
      </w:r>
      <w:proofErr w:type="spellEnd"/>
    </w:p>
    <w:p w:rsidR="00857B00" w:rsidRPr="00AB6DD4" w:rsidRDefault="00857B00" w:rsidP="00857B00">
      <w:pPr>
        <w:pStyle w:val="Listenabsatz"/>
        <w:numPr>
          <w:ilvl w:val="0"/>
          <w:numId w:val="1"/>
        </w:numPr>
        <w:spacing w:after="0" w:line="240" w:lineRule="auto"/>
        <w:mirrorIndents/>
        <w:jc w:val="both"/>
        <w:rPr>
          <w:rFonts w:ascii="Calibri" w:hAnsi="Calibri"/>
          <w:color w:val="000000"/>
        </w:rPr>
      </w:pPr>
      <w:proofErr w:type="spellStart"/>
      <w:r w:rsidRPr="00AB6DD4">
        <w:rPr>
          <w:rFonts w:ascii="Calibri" w:hAnsi="Calibri"/>
          <w:color w:val="000000"/>
        </w:rPr>
        <w:t>Miniaturization</w:t>
      </w:r>
      <w:proofErr w:type="spellEnd"/>
    </w:p>
    <w:p w:rsidR="00857B00" w:rsidRPr="000400ED" w:rsidRDefault="00857B00" w:rsidP="00857B00">
      <w:pPr>
        <w:pStyle w:val="Listenabsatz"/>
        <w:numPr>
          <w:ilvl w:val="0"/>
          <w:numId w:val="1"/>
        </w:numPr>
        <w:spacing w:after="0" w:line="240" w:lineRule="auto"/>
        <w:mirrorIndents/>
        <w:jc w:val="both"/>
        <w:rPr>
          <w:rFonts w:ascii="Calibri" w:hAnsi="Calibri"/>
          <w:color w:val="000000"/>
          <w:lang w:val="en-US"/>
        </w:rPr>
      </w:pPr>
      <w:r w:rsidRPr="000400ED">
        <w:rPr>
          <w:rFonts w:ascii="Calibri" w:hAnsi="Calibri"/>
          <w:color w:val="000000"/>
          <w:lang w:val="en-US"/>
        </w:rPr>
        <w:t>100 µm (0.1 mm) pitch, with roadmap to 40 µm (0.04 mm)</w:t>
      </w:r>
    </w:p>
    <w:p w:rsidR="00857B00" w:rsidRPr="000400ED" w:rsidRDefault="00857B00" w:rsidP="00857B00">
      <w:pPr>
        <w:pStyle w:val="Listenabsatz"/>
        <w:numPr>
          <w:ilvl w:val="0"/>
          <w:numId w:val="1"/>
        </w:numPr>
        <w:spacing w:after="0" w:line="240" w:lineRule="auto"/>
        <w:mirrorIndents/>
        <w:jc w:val="both"/>
        <w:rPr>
          <w:rFonts w:ascii="Calibri" w:hAnsi="Calibri"/>
          <w:color w:val="000000"/>
          <w:lang w:val="en-US"/>
        </w:rPr>
      </w:pPr>
      <w:r w:rsidRPr="000400ED">
        <w:rPr>
          <w:rFonts w:ascii="Calibri" w:hAnsi="Calibri"/>
          <w:color w:val="000000"/>
          <w:lang w:val="en-US"/>
        </w:rPr>
        <w:t>40 µm (0.04 mm) diameter, with roadmap to 10 µm (0.01 mm)</w:t>
      </w:r>
    </w:p>
    <w:p w:rsidR="00857B00" w:rsidRPr="00AB6DD4" w:rsidRDefault="00857B00" w:rsidP="00857B00">
      <w:pPr>
        <w:pStyle w:val="Listenabsatz"/>
        <w:numPr>
          <w:ilvl w:val="0"/>
          <w:numId w:val="1"/>
        </w:numPr>
        <w:spacing w:after="0" w:line="240" w:lineRule="auto"/>
        <w:mirrorIndents/>
        <w:jc w:val="both"/>
        <w:rPr>
          <w:rFonts w:ascii="Calibri" w:hAnsi="Calibri"/>
          <w:color w:val="000000"/>
        </w:rPr>
      </w:pPr>
      <w:r w:rsidRPr="00AB6DD4">
        <w:rPr>
          <w:rFonts w:ascii="Calibri" w:hAnsi="Calibri"/>
          <w:color w:val="000000"/>
        </w:rPr>
        <w:t xml:space="preserve">Laser </w:t>
      </w:r>
      <w:proofErr w:type="spellStart"/>
      <w:r w:rsidRPr="00AB6DD4">
        <w:rPr>
          <w:rFonts w:ascii="Calibri" w:hAnsi="Calibri"/>
          <w:color w:val="000000"/>
        </w:rPr>
        <w:t>formed</w:t>
      </w:r>
      <w:proofErr w:type="spellEnd"/>
      <w:r w:rsidRPr="00AB6DD4">
        <w:rPr>
          <w:rFonts w:ascii="Calibri" w:hAnsi="Calibri"/>
          <w:color w:val="000000"/>
        </w:rPr>
        <w:t xml:space="preserve"> </w:t>
      </w:r>
      <w:proofErr w:type="spellStart"/>
      <w:r w:rsidRPr="00AB6DD4">
        <w:rPr>
          <w:rFonts w:ascii="Calibri" w:hAnsi="Calibri"/>
          <w:color w:val="000000"/>
        </w:rPr>
        <w:t>holes</w:t>
      </w:r>
      <w:proofErr w:type="spellEnd"/>
    </w:p>
    <w:p w:rsidR="00857B00" w:rsidRPr="00AB6DD4" w:rsidRDefault="00857B00" w:rsidP="00857B00">
      <w:pPr>
        <w:pStyle w:val="Listenabsatz"/>
        <w:numPr>
          <w:ilvl w:val="0"/>
          <w:numId w:val="1"/>
        </w:numPr>
        <w:spacing w:after="0" w:line="240" w:lineRule="auto"/>
        <w:mirrorIndents/>
        <w:jc w:val="both"/>
        <w:rPr>
          <w:rFonts w:ascii="Calibri" w:hAnsi="Calibri"/>
          <w:color w:val="000000"/>
        </w:rPr>
      </w:pPr>
      <w:r>
        <w:rPr>
          <w:noProof/>
        </w:rPr>
        <mc:AlternateContent>
          <mc:Choice Requires="wps">
            <w:drawing>
              <wp:anchor distT="0" distB="0" distL="114300" distR="114300" simplePos="0" relativeHeight="251660288" behindDoc="0" locked="0" layoutInCell="1" allowOverlap="1" wp14:anchorId="4761BEA7" wp14:editId="0BDBE6E3">
                <wp:simplePos x="0" y="0"/>
                <wp:positionH relativeFrom="column">
                  <wp:posOffset>4391025</wp:posOffset>
                </wp:positionH>
                <wp:positionV relativeFrom="paragraph">
                  <wp:posOffset>151130</wp:posOffset>
                </wp:positionV>
                <wp:extent cx="1436370" cy="348615"/>
                <wp:effectExtent l="0" t="0" r="0" b="0"/>
                <wp:wrapSquare wrapText="bothSides"/>
                <wp:docPr id="15" name="Text Box 6"/>
                <wp:cNvGraphicFramePr/>
                <a:graphic xmlns:a="http://schemas.openxmlformats.org/drawingml/2006/main">
                  <a:graphicData uri="http://schemas.microsoft.com/office/word/2010/wordprocessingShape">
                    <wps:wsp>
                      <wps:cNvSpPr txBox="1"/>
                      <wps:spPr>
                        <a:xfrm>
                          <a:off x="0" y="0"/>
                          <a:ext cx="1436370" cy="348615"/>
                        </a:xfrm>
                        <a:prstGeom prst="rect">
                          <a:avLst/>
                        </a:prstGeom>
                        <a:solidFill>
                          <a:prstClr val="white"/>
                        </a:solidFill>
                        <a:ln>
                          <a:noFill/>
                        </a:ln>
                        <a:effectLst/>
                      </wps:spPr>
                      <wps:txbx>
                        <w:txbxContent>
                          <w:p w:rsidR="00857B00" w:rsidRPr="003A33EB" w:rsidRDefault="00857B00" w:rsidP="00857B00">
                            <w:pPr>
                              <w:pStyle w:val="Beschriftung"/>
                              <w:rPr>
                                <w:rFonts w:ascii="Calibri" w:hAnsi="Calibri"/>
                                <w:noProof/>
                                <w:color w:val="000000"/>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High Density TGV </w:t>
                            </w:r>
                            <w:proofErr w:type="spellStart"/>
                            <w:r>
                              <w:t>Metalization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1BEA7" id="_x0000_t202" coordsize="21600,21600" o:spt="202" path="m,l,21600r21600,l21600,xe">
                <v:stroke joinstyle="miter"/>
                <v:path gradientshapeok="t" o:connecttype="rect"/>
              </v:shapetype>
              <v:shape id="Text Box 6" o:spid="_x0000_s1026" type="#_x0000_t202" style="position:absolute;left:0;text-align:left;margin-left:345.75pt;margin-top:11.9pt;width:113.1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" stroked="f">
                <v:textbox inset="0,0,0,0">
                  <w:txbxContent>
                    <w:p w:rsidR="00857B00" w:rsidRPr="003A33EB" w:rsidRDefault="00857B00" w:rsidP="00857B00">
                      <w:pPr>
                        <w:pStyle w:val="Beschriftung"/>
                        <w:rPr>
                          <w:rFonts w:ascii="Calibri" w:hAnsi="Calibri"/>
                          <w:noProof/>
                          <w:color w:val="000000"/>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High Density TGV </w:t>
                      </w:r>
                      <w:proofErr w:type="spellStart"/>
                      <w:r>
                        <w:t>Metalization</w:t>
                      </w:r>
                      <w:proofErr w:type="spellEnd"/>
                    </w:p>
                  </w:txbxContent>
                </v:textbox>
                <w10:wrap type="square"/>
              </v:shape>
            </w:pict>
          </mc:Fallback>
        </mc:AlternateContent>
      </w:r>
      <w:r w:rsidRPr="00AB6DD4">
        <w:rPr>
          <w:rFonts w:ascii="Calibri" w:hAnsi="Calibri"/>
          <w:color w:val="000000"/>
        </w:rPr>
        <w:t xml:space="preserve">200+ µm (0.2 mm) </w:t>
      </w:r>
      <w:proofErr w:type="spellStart"/>
      <w:r w:rsidRPr="00AB6DD4">
        <w:rPr>
          <w:rFonts w:ascii="Calibri" w:hAnsi="Calibri"/>
          <w:color w:val="000000"/>
        </w:rPr>
        <w:t>thick</w:t>
      </w:r>
      <w:proofErr w:type="spellEnd"/>
      <w:r w:rsidRPr="00AB6DD4">
        <w:rPr>
          <w:rFonts w:ascii="Calibri" w:hAnsi="Calibri"/>
          <w:color w:val="000000"/>
        </w:rPr>
        <w:t xml:space="preserve"> </w:t>
      </w:r>
      <w:proofErr w:type="spellStart"/>
      <w:r w:rsidRPr="00AB6DD4">
        <w:rPr>
          <w:rFonts w:ascii="Calibri" w:hAnsi="Calibri"/>
          <w:color w:val="000000"/>
        </w:rPr>
        <w:t>glass</w:t>
      </w:r>
      <w:proofErr w:type="spellEnd"/>
    </w:p>
    <w:p w:rsidR="00857B00" w:rsidRPr="000400ED" w:rsidRDefault="00857B00" w:rsidP="00857B00">
      <w:pPr>
        <w:pStyle w:val="Listenabsatz"/>
        <w:numPr>
          <w:ilvl w:val="0"/>
          <w:numId w:val="1"/>
        </w:numPr>
        <w:spacing w:after="0" w:line="240" w:lineRule="auto"/>
        <w:mirrorIndents/>
        <w:jc w:val="both"/>
        <w:rPr>
          <w:rFonts w:ascii="Calibri" w:hAnsi="Calibri"/>
          <w:color w:val="000000"/>
          <w:lang w:val="en-US"/>
        </w:rPr>
      </w:pPr>
      <w:r w:rsidRPr="000400ED">
        <w:rPr>
          <w:rFonts w:ascii="Calibri" w:hAnsi="Calibri"/>
          <w:color w:val="000000"/>
          <w:lang w:val="en-US"/>
        </w:rPr>
        <w:t>Optimized coplanarity (&lt; 20 µm wafer bow)</w:t>
      </w:r>
    </w:p>
    <w:p w:rsidR="00857B00" w:rsidRPr="000400ED" w:rsidRDefault="00857B00" w:rsidP="00857B00">
      <w:pPr>
        <w:spacing w:after="0" w:line="240" w:lineRule="auto"/>
        <w:contextualSpacing/>
        <w:mirrorIndents/>
        <w:jc w:val="both"/>
        <w:rPr>
          <w:rFonts w:ascii="Calibri" w:hAnsi="Calibri"/>
          <w:color w:val="000000"/>
          <w:lang w:val="en-US"/>
        </w:rPr>
      </w:pPr>
    </w:p>
    <w:p w:rsidR="00857B00" w:rsidRPr="000400ED" w:rsidRDefault="00857B00" w:rsidP="00857B00">
      <w:pPr>
        <w:spacing w:after="0" w:line="240" w:lineRule="auto"/>
        <w:contextualSpacing/>
        <w:mirrorIndents/>
        <w:jc w:val="both"/>
        <w:rPr>
          <w:rFonts w:ascii="Calibri" w:hAnsi="Calibri"/>
          <w:color w:val="000000"/>
          <w:lang w:val="en-US"/>
        </w:rPr>
      </w:pPr>
      <w:r w:rsidRPr="000400ED">
        <w:rPr>
          <w:rFonts w:ascii="Calibri" w:hAnsi="Calibri"/>
          <w:color w:val="000000"/>
          <w:lang w:val="en-US"/>
        </w:rPr>
        <w:t xml:space="preserve">Samtec offers three types of TGVs: tapered, hourglass and straight. TGV type is dependent upon industry and application requirements. TGVs enable TGV wafers and interposer die. TGV wafers permit the integration of glass and metal into a single wafer, while interposer die permit more efficient connections and cycle times. The hermetically sealed wafers are manufactured from both </w:t>
      </w:r>
      <w:proofErr w:type="gramStart"/>
      <w:r w:rsidRPr="000400ED">
        <w:rPr>
          <w:rFonts w:ascii="Calibri" w:hAnsi="Calibri"/>
          <w:color w:val="000000"/>
          <w:lang w:val="en-US"/>
        </w:rPr>
        <w:t>high quality</w:t>
      </w:r>
      <w:proofErr w:type="gramEnd"/>
      <w:r w:rsidRPr="000400ED">
        <w:rPr>
          <w:rFonts w:ascii="Calibri" w:hAnsi="Calibri"/>
          <w:color w:val="000000"/>
          <w:lang w:val="en-US"/>
        </w:rPr>
        <w:t xml:space="preserve"> borosilicate and quartz glass. </w:t>
      </w:r>
      <w:proofErr w:type="gramStart"/>
      <w:r w:rsidRPr="000400ED">
        <w:rPr>
          <w:rFonts w:ascii="Calibri" w:hAnsi="Calibri"/>
          <w:color w:val="000000"/>
          <w:lang w:val="en-US"/>
        </w:rPr>
        <w:t>Through the use of</w:t>
      </w:r>
      <w:proofErr w:type="gramEnd"/>
      <w:r w:rsidRPr="000400ED">
        <w:rPr>
          <w:rFonts w:ascii="Calibri" w:hAnsi="Calibri"/>
          <w:color w:val="000000"/>
          <w:lang w:val="en-US"/>
        </w:rPr>
        <w:t xml:space="preserve"> high quality wafer material, combined with top </w:t>
      </w:r>
      <w:proofErr w:type="spellStart"/>
      <w:r w:rsidRPr="000400ED">
        <w:rPr>
          <w:rFonts w:ascii="Calibri" w:hAnsi="Calibri"/>
          <w:color w:val="000000"/>
          <w:lang w:val="en-US"/>
        </w:rPr>
        <w:t>metalization</w:t>
      </w:r>
      <w:proofErr w:type="spellEnd"/>
      <w:r w:rsidRPr="000400ED">
        <w:rPr>
          <w:rFonts w:ascii="Calibri" w:hAnsi="Calibri"/>
          <w:color w:val="000000"/>
          <w:lang w:val="en-US"/>
        </w:rPr>
        <w:t xml:space="preserve"> technology, Samtec wafers become a one of a kind packaging product.</w:t>
      </w:r>
    </w:p>
    <w:p w:rsidR="00857B00" w:rsidRPr="000400ED" w:rsidRDefault="00857B00" w:rsidP="00857B00">
      <w:pPr>
        <w:spacing w:after="0" w:line="240" w:lineRule="auto"/>
        <w:contextualSpacing/>
        <w:mirrorIndents/>
        <w:jc w:val="both"/>
        <w:rPr>
          <w:rFonts w:ascii="Calibri" w:hAnsi="Calibri"/>
          <w:color w:val="000000"/>
          <w:lang w:val="en-US"/>
        </w:rPr>
      </w:pPr>
      <w:r>
        <w:rPr>
          <w:noProof/>
        </w:rPr>
        <w:drawing>
          <wp:anchor distT="0" distB="0" distL="114300" distR="114300" simplePos="0" relativeHeight="251661312" behindDoc="1" locked="0" layoutInCell="1" allowOverlap="1" wp14:anchorId="0E353A41" wp14:editId="2B089466">
            <wp:simplePos x="0" y="0"/>
            <wp:positionH relativeFrom="column">
              <wp:posOffset>4429125</wp:posOffset>
            </wp:positionH>
            <wp:positionV relativeFrom="paragraph">
              <wp:posOffset>114935</wp:posOffset>
            </wp:positionV>
            <wp:extent cx="1460500" cy="1257300"/>
            <wp:effectExtent l="0" t="0" r="6350" b="0"/>
            <wp:wrapTight wrapText="bothSides">
              <wp:wrapPolygon edited="0">
                <wp:start x="0" y="0"/>
                <wp:lineTo x="0" y="21273"/>
                <wp:lineTo x="21412" y="21273"/>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B00" w:rsidRPr="000400ED" w:rsidRDefault="00857B00" w:rsidP="00857B00">
      <w:pPr>
        <w:spacing w:after="0" w:line="240" w:lineRule="auto"/>
        <w:contextualSpacing/>
        <w:mirrorIndents/>
        <w:jc w:val="both"/>
        <w:rPr>
          <w:lang w:val="en-US"/>
        </w:rPr>
      </w:pPr>
      <w:r w:rsidRPr="000400ED">
        <w:rPr>
          <w:lang w:val="en-US"/>
        </w:rPr>
        <w:t xml:space="preserve">The TGVs are linked via a unique thin film Redistribution Layer (RDL) process. This technique enables circuit patterning over the top and bottom of glass substrates.  This process provides a low loss, fan-out of chip and package interconnects at a lower cost than silicon interposers. </w:t>
      </w:r>
    </w:p>
    <w:p w:rsidR="00857B00" w:rsidRPr="000400ED" w:rsidRDefault="00857B00" w:rsidP="00857B00">
      <w:pPr>
        <w:spacing w:after="0" w:line="240" w:lineRule="auto"/>
        <w:contextualSpacing/>
        <w:mirrorIndents/>
        <w:jc w:val="both"/>
        <w:rPr>
          <w:lang w:val="en-US"/>
        </w:rPr>
      </w:pPr>
    </w:p>
    <w:p w:rsidR="00857B00" w:rsidRPr="000400ED" w:rsidRDefault="00857B00" w:rsidP="00857B00">
      <w:pPr>
        <w:spacing w:after="0" w:line="240" w:lineRule="auto"/>
        <w:contextualSpacing/>
        <w:mirrorIndents/>
        <w:jc w:val="both"/>
        <w:rPr>
          <w:rFonts w:ascii="Calibri" w:hAnsi="Calibri"/>
          <w:color w:val="000000"/>
          <w:lang w:val="en-US"/>
        </w:rPr>
      </w:pPr>
      <w:r>
        <w:rPr>
          <w:noProof/>
        </w:rPr>
        <mc:AlternateContent>
          <mc:Choice Requires="wps">
            <w:drawing>
              <wp:anchor distT="0" distB="0" distL="114300" distR="114300" simplePos="0" relativeHeight="251662336" behindDoc="0" locked="0" layoutInCell="1" allowOverlap="1" wp14:anchorId="0331DD28" wp14:editId="2AFE01AD">
                <wp:simplePos x="0" y="0"/>
                <wp:positionH relativeFrom="column">
                  <wp:posOffset>4472940</wp:posOffset>
                </wp:positionH>
                <wp:positionV relativeFrom="paragraph">
                  <wp:posOffset>444500</wp:posOffset>
                </wp:positionV>
                <wp:extent cx="1460500"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1460500" cy="635"/>
                        </a:xfrm>
                        <a:prstGeom prst="rect">
                          <a:avLst/>
                        </a:prstGeom>
                        <a:solidFill>
                          <a:prstClr val="white"/>
                        </a:solidFill>
                        <a:ln>
                          <a:noFill/>
                        </a:ln>
                        <a:effectLst/>
                      </wps:spPr>
                      <wps:txbx>
                        <w:txbxContent>
                          <w:p w:rsidR="00857B00" w:rsidRPr="00CD4D9C" w:rsidRDefault="00857B00" w:rsidP="00857B00">
                            <w:pPr>
                              <w:pStyle w:val="Beschriftung"/>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xml:space="preserve"> RDL Circuit </w:t>
                            </w:r>
                            <w:proofErr w:type="spellStart"/>
                            <w:r>
                              <w:t>Patterning</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331DD28" id="Text Box 8" o:spid="_x0000_s1027" type="#_x0000_t202" style="position:absolute;left:0;text-align:left;margin-left:352.2pt;margin-top:35pt;width:1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" stroked="f">
                <v:textbox style="mso-fit-shape-to-text:t" inset="0,0,0,0">
                  <w:txbxContent>
                    <w:p w:rsidR="00857B00" w:rsidRPr="00CD4D9C" w:rsidRDefault="00857B00" w:rsidP="00857B00">
                      <w:pPr>
                        <w:pStyle w:val="Beschriftung"/>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xml:space="preserve"> RDL Circuit </w:t>
                      </w:r>
                      <w:proofErr w:type="spellStart"/>
                      <w:r>
                        <w:t>Patterning</w:t>
                      </w:r>
                      <w:proofErr w:type="spellEnd"/>
                    </w:p>
                  </w:txbxContent>
                </v:textbox>
                <w10:wrap type="tight"/>
              </v:shape>
            </w:pict>
          </mc:Fallback>
        </mc:AlternateContent>
      </w:r>
      <w:r w:rsidRPr="000400ED">
        <w:rPr>
          <w:lang w:val="en-US"/>
        </w:rPr>
        <w:t xml:space="preserve">The result is a performance optimized, ultra-miniaturized substrate, ideal for next generation IC packaging. GCT achieves maximum functionality in a significantly smaller footprint with glass-based IC packages, modules, and components compared to traditional IC packaging substrates. </w:t>
      </w:r>
      <w:r w:rsidRPr="000400ED">
        <w:rPr>
          <w:rFonts w:ascii="Calibri" w:hAnsi="Calibri"/>
          <w:color w:val="000000"/>
          <w:lang w:val="en-US"/>
        </w:rPr>
        <w:t xml:space="preserve">GCT also enables faster cycle times and KGD testing at higher packaging integration levels, at the lowest cost in the marketplace. </w:t>
      </w:r>
    </w:p>
    <w:p w:rsidR="00857B00" w:rsidRPr="000400ED" w:rsidRDefault="00857B00" w:rsidP="00857B00">
      <w:pPr>
        <w:spacing w:after="0" w:line="240" w:lineRule="auto"/>
        <w:contextualSpacing/>
        <w:mirrorIndents/>
        <w:jc w:val="both"/>
        <w:rPr>
          <w:rFonts w:ascii="Calibri" w:hAnsi="Calibri"/>
          <w:color w:val="000000"/>
          <w:lang w:val="en-US"/>
        </w:rPr>
      </w:pPr>
    </w:p>
    <w:p w:rsidR="00857B00" w:rsidRPr="000400ED" w:rsidRDefault="00857B00" w:rsidP="00857B00">
      <w:pPr>
        <w:spacing w:after="0" w:line="240" w:lineRule="auto"/>
        <w:contextualSpacing/>
        <w:mirrorIndents/>
        <w:jc w:val="both"/>
        <w:rPr>
          <w:rFonts w:ascii="Calibri" w:hAnsi="Calibri"/>
          <w:color w:val="000000"/>
          <w:lang w:val="en-US"/>
        </w:rPr>
      </w:pPr>
      <w:r w:rsidRPr="000400ED">
        <w:rPr>
          <w:rFonts w:ascii="Calibri" w:hAnsi="Calibri"/>
          <w:color w:val="000000"/>
          <w:lang w:val="en-US"/>
        </w:rPr>
        <w:t>New and exciting applications leveraging GCT continue to emerge.  Biomedical sensors with IoT connectivity can be assembled by wafer level processing.  GCT provides an excellent packaging platform for incorporating optical waveguides and tuning mirrors for many advanced optical applications used in various connectivity applications.</w:t>
      </w:r>
    </w:p>
    <w:p w:rsidR="00857B00" w:rsidRPr="000400ED" w:rsidRDefault="00857B00" w:rsidP="00857B00">
      <w:pPr>
        <w:spacing w:after="0" w:line="240" w:lineRule="auto"/>
        <w:jc w:val="both"/>
        <w:rPr>
          <w:b/>
          <w:lang w:val="en-US"/>
        </w:rPr>
      </w:pPr>
    </w:p>
    <w:p w:rsidR="00857B00" w:rsidRPr="000400ED" w:rsidRDefault="00857B00" w:rsidP="00857B00">
      <w:pPr>
        <w:jc w:val="both"/>
        <w:rPr>
          <w:b/>
          <w:lang w:val="en-US"/>
        </w:rPr>
      </w:pPr>
      <w:proofErr w:type="spellStart"/>
      <w:r w:rsidRPr="000400ED">
        <w:rPr>
          <w:b/>
          <w:lang w:val="en-US"/>
        </w:rPr>
        <w:t>nMode</w:t>
      </w:r>
      <w:proofErr w:type="spellEnd"/>
      <w:r w:rsidRPr="000400ED">
        <w:rPr>
          <w:b/>
          <w:lang w:val="en-US"/>
        </w:rPr>
        <w:t>™ Modules and Components</w:t>
      </w:r>
    </w:p>
    <w:p w:rsidR="00857B00" w:rsidRPr="000400ED" w:rsidRDefault="00857B00" w:rsidP="00857B00">
      <w:pPr>
        <w:spacing w:after="0" w:line="240" w:lineRule="auto"/>
        <w:contextualSpacing/>
        <w:mirrorIndents/>
        <w:jc w:val="both"/>
        <w:rPr>
          <w:lang w:val="en-US"/>
        </w:rPr>
      </w:pPr>
      <w:r w:rsidRPr="000400ED">
        <w:rPr>
          <w:lang w:val="en-US"/>
        </w:rPr>
        <w:t>Advanced IC packaging and assembly capabilities and services and the size reduction of glass substrates are tools that OEMs innovating for industry 4.0 can leverage individually.  Combing assembly and packaging technique and glass substrates with system level design provided the ideal platform for IoT application developers to leverage on next generation products</w:t>
      </w:r>
    </w:p>
    <w:p w:rsidR="00857B00" w:rsidRPr="000400ED" w:rsidRDefault="00857B00" w:rsidP="00857B00">
      <w:pPr>
        <w:spacing w:after="0" w:line="240" w:lineRule="auto"/>
        <w:contextualSpacing/>
        <w:mirrorIndents/>
        <w:jc w:val="both"/>
        <w:rPr>
          <w:lang w:val="en-US"/>
        </w:rPr>
      </w:pPr>
    </w:p>
    <w:p w:rsidR="00857B00" w:rsidRDefault="00857B00" w:rsidP="00857B00">
      <w:pPr>
        <w:spacing w:after="0" w:line="240" w:lineRule="auto"/>
        <w:contextualSpacing/>
        <w:mirrorIndents/>
        <w:jc w:val="both"/>
        <w:rPr>
          <w:lang w:val="en-US"/>
        </w:rPr>
      </w:pPr>
    </w:p>
    <w:p w:rsidR="00857B00" w:rsidRDefault="00857B00" w:rsidP="00857B00">
      <w:pPr>
        <w:spacing w:after="0" w:line="240" w:lineRule="auto"/>
        <w:contextualSpacing/>
        <w:mirrorIndents/>
        <w:jc w:val="both"/>
        <w:rPr>
          <w:lang w:val="en-US"/>
        </w:rPr>
      </w:pPr>
    </w:p>
    <w:p w:rsidR="00857B00" w:rsidRDefault="00857B00" w:rsidP="00857B00">
      <w:pPr>
        <w:spacing w:after="0" w:line="240" w:lineRule="auto"/>
        <w:contextualSpacing/>
        <w:mirrorIndents/>
        <w:jc w:val="both"/>
        <w:rPr>
          <w:lang w:val="en-US"/>
        </w:rPr>
      </w:pPr>
    </w:p>
    <w:p w:rsidR="00857B00" w:rsidRDefault="00857B00" w:rsidP="00857B00">
      <w:pPr>
        <w:shd w:val="clear" w:color="auto" w:fill="FFFFFF"/>
        <w:jc w:val="both"/>
        <w:rPr>
          <w:rFonts w:ascii="Calibri" w:hAnsi="Calibri"/>
          <w:b/>
          <w:bCs/>
          <w:color w:val="222222"/>
          <w:sz w:val="32"/>
          <w:szCs w:val="32"/>
          <w:lang w:val="en-US"/>
        </w:rPr>
      </w:pPr>
    </w:p>
    <w:p w:rsidR="00857B00" w:rsidRDefault="00857B00" w:rsidP="00857B00">
      <w:pPr>
        <w:shd w:val="clear" w:color="auto" w:fill="FFFFFF"/>
        <w:jc w:val="both"/>
        <w:rPr>
          <w:rFonts w:ascii="Calibri" w:hAnsi="Calibri"/>
          <w:b/>
          <w:bCs/>
          <w:color w:val="222222"/>
          <w:sz w:val="32"/>
          <w:szCs w:val="32"/>
          <w:lang w:val="en-US"/>
        </w:rPr>
      </w:pPr>
    </w:p>
    <w:p w:rsidR="00857B00" w:rsidRDefault="00857B00" w:rsidP="00857B00">
      <w:pPr>
        <w:shd w:val="clear" w:color="auto" w:fill="FFFFFF"/>
        <w:jc w:val="both"/>
        <w:rPr>
          <w:rFonts w:ascii="Calibri" w:hAnsi="Calibri"/>
          <w:b/>
          <w:bCs/>
          <w:color w:val="222222"/>
          <w:sz w:val="32"/>
          <w:szCs w:val="32"/>
          <w:lang w:val="en-US"/>
        </w:rPr>
      </w:pPr>
    </w:p>
    <w:p w:rsidR="00857B00" w:rsidRDefault="00857B00" w:rsidP="00857B00">
      <w:pPr>
        <w:shd w:val="clear" w:color="auto" w:fill="FFFFFF"/>
        <w:jc w:val="both"/>
        <w:rPr>
          <w:rFonts w:ascii="Calibri" w:hAnsi="Calibri"/>
          <w:b/>
          <w:bCs/>
          <w:color w:val="222222"/>
          <w:sz w:val="32"/>
          <w:szCs w:val="32"/>
          <w:lang w:val="en-US"/>
        </w:rPr>
      </w:pPr>
    </w:p>
    <w:p w:rsidR="00857B00" w:rsidRPr="000400ED" w:rsidRDefault="00857B00" w:rsidP="00857B00">
      <w:pPr>
        <w:shd w:val="clear" w:color="auto" w:fill="FFFFFF"/>
        <w:jc w:val="both"/>
        <w:rPr>
          <w:rFonts w:ascii="Calibri" w:hAnsi="Calibri"/>
          <w:b/>
          <w:bCs/>
          <w:color w:val="222222"/>
          <w:sz w:val="32"/>
          <w:szCs w:val="32"/>
          <w:lang w:val="en-US"/>
        </w:rPr>
      </w:pPr>
      <w:r w:rsidRPr="000400ED">
        <w:rPr>
          <w:rFonts w:ascii="Calibri" w:hAnsi="Calibri"/>
          <w:b/>
          <w:bCs/>
          <w:color w:val="222222"/>
          <w:sz w:val="32"/>
          <w:szCs w:val="32"/>
          <w:lang w:val="en-US"/>
        </w:rPr>
        <w:lastRenderedPageBreak/>
        <w:t>Shrinking the Next Generation of IoT Applications</w:t>
      </w:r>
    </w:p>
    <w:p w:rsidR="00857B00" w:rsidRPr="000400ED" w:rsidRDefault="00857B00" w:rsidP="00857B00">
      <w:pPr>
        <w:spacing w:after="0" w:line="240" w:lineRule="auto"/>
        <w:contextualSpacing/>
        <w:mirrorIndents/>
        <w:jc w:val="both"/>
        <w:rPr>
          <w:lang w:val="en-US"/>
        </w:rPr>
      </w:pPr>
      <w:r>
        <w:rPr>
          <w:noProof/>
        </w:rPr>
        <w:drawing>
          <wp:anchor distT="0" distB="0" distL="114300" distR="114300" simplePos="0" relativeHeight="251663360" behindDoc="0" locked="0" layoutInCell="1" allowOverlap="1" wp14:anchorId="6D9321E3" wp14:editId="408802B7">
            <wp:simplePos x="0" y="0"/>
            <wp:positionH relativeFrom="column">
              <wp:posOffset>3060700</wp:posOffset>
            </wp:positionH>
            <wp:positionV relativeFrom="paragraph">
              <wp:posOffset>44450</wp:posOffset>
            </wp:positionV>
            <wp:extent cx="3114040" cy="2238375"/>
            <wp:effectExtent l="0" t="0" r="0" b="9525"/>
            <wp:wrapSquare wrapText="bothSides"/>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1-13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4040" cy="2238375"/>
                    </a:xfrm>
                    <a:prstGeom prst="rect">
                      <a:avLst/>
                    </a:prstGeom>
                  </pic:spPr>
                </pic:pic>
              </a:graphicData>
            </a:graphic>
            <wp14:sizeRelH relativeFrom="page">
              <wp14:pctWidth>0</wp14:pctWidth>
            </wp14:sizeRelH>
            <wp14:sizeRelV relativeFrom="page">
              <wp14:pctHeight>0</wp14:pctHeight>
            </wp14:sizeRelV>
          </wp:anchor>
        </w:drawing>
      </w:r>
    </w:p>
    <w:p w:rsidR="00857B00" w:rsidRPr="000400ED" w:rsidRDefault="00857B00" w:rsidP="00857B00">
      <w:pPr>
        <w:spacing w:after="0" w:line="240" w:lineRule="auto"/>
        <w:contextualSpacing/>
        <w:mirrorIndents/>
        <w:jc w:val="both"/>
        <w:rPr>
          <w:lang w:val="en-US"/>
        </w:rPr>
      </w:pPr>
    </w:p>
    <w:p w:rsidR="00857B00" w:rsidRPr="000400ED" w:rsidRDefault="00857B00" w:rsidP="00857B00">
      <w:pPr>
        <w:spacing w:after="0" w:line="240" w:lineRule="auto"/>
        <w:contextualSpacing/>
        <w:mirrorIndents/>
        <w:jc w:val="both"/>
        <w:rPr>
          <w:lang w:val="en-US"/>
        </w:rPr>
      </w:pPr>
      <w:r w:rsidRPr="000400ED">
        <w:rPr>
          <w:lang w:val="en-US"/>
        </w:rPr>
        <w:t xml:space="preserve">One of the first solutions available combining </w:t>
      </w:r>
      <w:proofErr w:type="gramStart"/>
      <w:r w:rsidRPr="000400ED">
        <w:rPr>
          <w:lang w:val="en-US"/>
        </w:rPr>
        <w:t>all of these</w:t>
      </w:r>
      <w:proofErr w:type="gramEnd"/>
      <w:r w:rsidRPr="000400ED">
        <w:rPr>
          <w:lang w:val="en-US"/>
        </w:rPr>
        <w:t xml:space="preserve"> capabilities is the Samtec </w:t>
      </w:r>
      <w:proofErr w:type="spellStart"/>
      <w:r w:rsidRPr="000400ED">
        <w:rPr>
          <w:lang w:val="en-US"/>
        </w:rPr>
        <w:t>nMode</w:t>
      </w:r>
      <w:proofErr w:type="spellEnd"/>
      <w:r w:rsidRPr="000400ED">
        <w:rPr>
          <w:lang w:val="en-US"/>
        </w:rPr>
        <w:t xml:space="preserve">™ Wireless Sensor Module.  This new module enables remote sensing and measurement of inertial, environmental, and acoustical parameters. Leveraging standard ICs, </w:t>
      </w:r>
      <w:proofErr w:type="spellStart"/>
      <w:r w:rsidRPr="000400ED">
        <w:rPr>
          <w:lang w:val="en-US"/>
        </w:rPr>
        <w:t>Samtec’s</w:t>
      </w:r>
      <w:proofErr w:type="spellEnd"/>
      <w:r w:rsidRPr="000400ED">
        <w:rPr>
          <w:lang w:val="en-US"/>
        </w:rPr>
        <w:t xml:space="preserve"> pre-engineered modules integrate industry standard, fully tested and certified wireless, microcontroller and sensor components. </w:t>
      </w:r>
    </w:p>
    <w:p w:rsidR="00857B00" w:rsidRPr="000400ED" w:rsidRDefault="00857B00" w:rsidP="00857B00">
      <w:pPr>
        <w:spacing w:after="0" w:line="240" w:lineRule="auto"/>
        <w:contextualSpacing/>
        <w:mirrorIndents/>
        <w:jc w:val="both"/>
        <w:rPr>
          <w:lang w:val="en-US"/>
        </w:rPr>
      </w:pPr>
    </w:p>
    <w:p w:rsidR="00857B00" w:rsidRPr="000400ED" w:rsidRDefault="00857B00" w:rsidP="00857B00">
      <w:pPr>
        <w:spacing w:after="0" w:line="240" w:lineRule="auto"/>
        <w:contextualSpacing/>
        <w:mirrorIndents/>
        <w:jc w:val="both"/>
        <w:rPr>
          <w:lang w:val="en-US"/>
        </w:rPr>
      </w:pPr>
      <w:r>
        <w:rPr>
          <w:noProof/>
        </w:rPr>
        <mc:AlternateContent>
          <mc:Choice Requires="wps">
            <w:drawing>
              <wp:anchor distT="0" distB="0" distL="114300" distR="114300" simplePos="0" relativeHeight="251664384" behindDoc="0" locked="0" layoutInCell="1" allowOverlap="1" wp14:anchorId="3CDD0D0F" wp14:editId="074AC57B">
                <wp:simplePos x="0" y="0"/>
                <wp:positionH relativeFrom="column">
                  <wp:posOffset>3194050</wp:posOffset>
                </wp:positionH>
                <wp:positionV relativeFrom="paragraph">
                  <wp:posOffset>108585</wp:posOffset>
                </wp:positionV>
                <wp:extent cx="3114040" cy="635"/>
                <wp:effectExtent l="0" t="0" r="0" b="0"/>
                <wp:wrapSquare wrapText="bothSides"/>
                <wp:docPr id="16" name="Text Box 14"/>
                <wp:cNvGraphicFramePr/>
                <a:graphic xmlns:a="http://schemas.openxmlformats.org/drawingml/2006/main">
                  <a:graphicData uri="http://schemas.microsoft.com/office/word/2010/wordprocessingShape">
                    <wps:wsp>
                      <wps:cNvSpPr txBox="1"/>
                      <wps:spPr>
                        <a:xfrm>
                          <a:off x="0" y="0"/>
                          <a:ext cx="3114040" cy="635"/>
                        </a:xfrm>
                        <a:prstGeom prst="rect">
                          <a:avLst/>
                        </a:prstGeom>
                        <a:solidFill>
                          <a:prstClr val="white"/>
                        </a:solidFill>
                        <a:ln>
                          <a:noFill/>
                        </a:ln>
                        <a:effectLst/>
                      </wps:spPr>
                      <wps:txbx>
                        <w:txbxContent>
                          <w:p w:rsidR="00857B00" w:rsidRPr="000400ED" w:rsidRDefault="00857B00" w:rsidP="00857B00">
                            <w:pPr>
                              <w:pStyle w:val="Beschriftung"/>
                              <w:rPr>
                                <w:noProof/>
                                <w:lang w:val="en-US"/>
                              </w:rPr>
                            </w:pPr>
                            <w:r w:rsidRPr="000400ED">
                              <w:rPr>
                                <w:lang w:val="en-US"/>
                              </w:rPr>
                              <w:t xml:space="preserve">Figure </w:t>
                            </w:r>
                            <w:r>
                              <w:fldChar w:fldCharType="begin"/>
                            </w:r>
                            <w:r w:rsidRPr="000400ED">
                              <w:rPr>
                                <w:lang w:val="en-US"/>
                              </w:rPr>
                              <w:instrText xml:space="preserve"> SEQ Figure \* ARABIC </w:instrText>
                            </w:r>
                            <w:r>
                              <w:fldChar w:fldCharType="separate"/>
                            </w:r>
                            <w:r>
                              <w:rPr>
                                <w:noProof/>
                                <w:lang w:val="en-US"/>
                              </w:rPr>
                              <w:t>3</w:t>
                            </w:r>
                            <w:r>
                              <w:rPr>
                                <w:noProof/>
                              </w:rPr>
                              <w:fldChar w:fldCharType="end"/>
                            </w:r>
                            <w:r w:rsidRPr="000400ED">
                              <w:rPr>
                                <w:lang w:val="en-US"/>
                              </w:rPr>
                              <w:t xml:space="preserve"> </w:t>
                            </w:r>
                            <w:proofErr w:type="spellStart"/>
                            <w:r w:rsidRPr="000400ED">
                              <w:rPr>
                                <w:lang w:val="en-US"/>
                              </w:rPr>
                              <w:t>nMode</w:t>
                            </w:r>
                            <w:proofErr w:type="spellEnd"/>
                            <w:r w:rsidRPr="000400ED">
                              <w:rPr>
                                <w:lang w:val="en-US"/>
                              </w:rPr>
                              <w:t>™ Wireless Sensor Module OSM-1-1313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DD0D0F" id="Text Box 14" o:spid="_x0000_s1028" type="#_x0000_t202" style="position:absolute;left:0;text-align:left;margin-left:251.5pt;margin-top:8.55pt;width:245.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" stroked="f">
                <v:textbox style="mso-fit-shape-to-text:t" inset="0,0,0,0">
                  <w:txbxContent>
                    <w:p w:rsidR="00857B00" w:rsidRPr="000400ED" w:rsidRDefault="00857B00" w:rsidP="00857B00">
                      <w:pPr>
                        <w:pStyle w:val="Beschriftung"/>
                        <w:rPr>
                          <w:noProof/>
                          <w:lang w:val="en-US"/>
                        </w:rPr>
                      </w:pPr>
                      <w:r w:rsidRPr="000400ED">
                        <w:rPr>
                          <w:lang w:val="en-US"/>
                        </w:rPr>
                        <w:t xml:space="preserve">Figure </w:t>
                      </w:r>
                      <w:r>
                        <w:fldChar w:fldCharType="begin"/>
                      </w:r>
                      <w:r w:rsidRPr="000400ED">
                        <w:rPr>
                          <w:lang w:val="en-US"/>
                        </w:rPr>
                        <w:instrText xml:space="preserve"> SEQ Figure \* ARABIC </w:instrText>
                      </w:r>
                      <w:r>
                        <w:fldChar w:fldCharType="separate"/>
                      </w:r>
                      <w:r>
                        <w:rPr>
                          <w:noProof/>
                          <w:lang w:val="en-US"/>
                        </w:rPr>
                        <w:t>3</w:t>
                      </w:r>
                      <w:r>
                        <w:rPr>
                          <w:noProof/>
                        </w:rPr>
                        <w:fldChar w:fldCharType="end"/>
                      </w:r>
                      <w:r w:rsidRPr="000400ED">
                        <w:rPr>
                          <w:lang w:val="en-US"/>
                        </w:rPr>
                        <w:t xml:space="preserve"> </w:t>
                      </w:r>
                      <w:proofErr w:type="spellStart"/>
                      <w:r w:rsidRPr="000400ED">
                        <w:rPr>
                          <w:lang w:val="en-US"/>
                        </w:rPr>
                        <w:t>nMode</w:t>
                      </w:r>
                      <w:proofErr w:type="spellEnd"/>
                      <w:r w:rsidRPr="000400ED">
                        <w:rPr>
                          <w:lang w:val="en-US"/>
                        </w:rPr>
                        <w:t>™ Wireless Sensor Module OSM-1-1313</w:t>
                      </w:r>
                    </w:p>
                  </w:txbxContent>
                </v:textbox>
                <w10:wrap type="square"/>
              </v:shape>
            </w:pict>
          </mc:Fallback>
        </mc:AlternateContent>
      </w:r>
      <w:r w:rsidRPr="000400ED">
        <w:rPr>
          <w:lang w:val="en-US"/>
        </w:rPr>
        <w:t xml:space="preserve">The small size and powerful design make the </w:t>
      </w:r>
      <w:proofErr w:type="spellStart"/>
      <w:r w:rsidRPr="000400ED">
        <w:rPr>
          <w:lang w:val="en-US"/>
        </w:rPr>
        <w:t>nMode</w:t>
      </w:r>
      <w:proofErr w:type="spellEnd"/>
      <w:r w:rsidRPr="000400ED">
        <w:rPr>
          <w:lang w:val="en-US"/>
        </w:rPr>
        <w:t>™ Wireless Sensor Module as a standalone node ideal for products such as wearables, gaming accessories, and smart-home or any number of IoT applications.  The modular design affords easy, functional customization during design and development and significantly reduces time to market for production.</w:t>
      </w:r>
    </w:p>
    <w:p w:rsidR="00857B00" w:rsidRPr="000400ED" w:rsidRDefault="00857B00" w:rsidP="00857B00">
      <w:pPr>
        <w:spacing w:after="0" w:line="240" w:lineRule="auto"/>
        <w:contextualSpacing/>
        <w:mirrorIndents/>
        <w:jc w:val="both"/>
        <w:rPr>
          <w:lang w:val="en-US"/>
        </w:rPr>
      </w:pPr>
    </w:p>
    <w:p w:rsidR="00857B00" w:rsidRPr="000400ED" w:rsidRDefault="00857B00" w:rsidP="00857B00">
      <w:pPr>
        <w:spacing w:after="0" w:line="240" w:lineRule="auto"/>
        <w:contextualSpacing/>
        <w:mirrorIndents/>
        <w:jc w:val="both"/>
        <w:rPr>
          <w:lang w:val="en-US"/>
        </w:rPr>
      </w:pPr>
      <w:r w:rsidRPr="000400ED">
        <w:rPr>
          <w:lang w:val="en-US"/>
        </w:rPr>
        <w:t xml:space="preserve">Samtec has collaborated with STMicroelectronics to position the </w:t>
      </w:r>
      <w:proofErr w:type="spellStart"/>
      <w:r w:rsidRPr="000400ED">
        <w:rPr>
          <w:lang w:val="en-US"/>
        </w:rPr>
        <w:t>nMode</w:t>
      </w:r>
      <w:proofErr w:type="spellEnd"/>
      <w:r w:rsidRPr="000400ED">
        <w:rPr>
          <w:lang w:val="en-US"/>
        </w:rPr>
        <w:t xml:space="preserve">™ Wireless Sensor Module as an FCC-certified production version of ST’s </w:t>
      </w:r>
      <w:proofErr w:type="spellStart"/>
      <w:r w:rsidRPr="000400ED">
        <w:rPr>
          <w:lang w:val="en-US"/>
        </w:rPr>
        <w:t>SensorTile</w:t>
      </w:r>
      <w:proofErr w:type="spellEnd"/>
      <w:r w:rsidRPr="000400ED">
        <w:rPr>
          <w:lang w:val="en-US"/>
        </w:rPr>
        <w:t xml:space="preserve"> development kit.  The Samtec solution leverages standard ICs and, like ST’s </w:t>
      </w:r>
      <w:proofErr w:type="spellStart"/>
      <w:r w:rsidRPr="000400ED">
        <w:rPr>
          <w:lang w:val="en-US"/>
        </w:rPr>
        <w:t>SensorTile</w:t>
      </w:r>
      <w:proofErr w:type="spellEnd"/>
      <w:r w:rsidRPr="000400ED">
        <w:rPr>
          <w:lang w:val="en-US"/>
        </w:rPr>
        <w:t>, it’s compatible with the STM32 ecosystem through STM32Cube support.  This approach to IoT application development enable OEMs to focus on their core IoT application competencies while shortening design cycles and time to market for IoT application developers.</w:t>
      </w:r>
      <w:r w:rsidRPr="000400ED">
        <w:rPr>
          <w:noProof/>
          <w:lang w:val="en-US"/>
        </w:rPr>
        <w:t xml:space="preserve"> </w:t>
      </w:r>
    </w:p>
    <w:p w:rsidR="00857B00" w:rsidRPr="000400ED" w:rsidRDefault="00857B00" w:rsidP="00857B00">
      <w:pPr>
        <w:spacing w:after="0" w:line="240" w:lineRule="auto"/>
        <w:contextualSpacing/>
        <w:mirrorIndents/>
        <w:jc w:val="both"/>
        <w:rPr>
          <w:lang w:val="en-US"/>
        </w:rPr>
      </w:pPr>
    </w:p>
    <w:p w:rsidR="00857B00" w:rsidRPr="000400ED" w:rsidRDefault="00857B00" w:rsidP="00857B00">
      <w:pPr>
        <w:spacing w:after="0" w:line="240" w:lineRule="auto"/>
        <w:contextualSpacing/>
        <w:mirrorIndents/>
        <w:jc w:val="both"/>
        <w:rPr>
          <w:lang w:val="en-US"/>
        </w:rPr>
      </w:pPr>
      <w:r w:rsidRPr="000400ED">
        <w:rPr>
          <w:lang w:val="en-US"/>
        </w:rPr>
        <w:t xml:space="preserve">Samtec continues to explore new applications at the module and component level.  This includes the packaging of modules and other </w:t>
      </w:r>
      <w:proofErr w:type="gramStart"/>
      <w:r w:rsidRPr="000400ED">
        <w:rPr>
          <w:lang w:val="en-US"/>
        </w:rPr>
        <w:t>high performance</w:t>
      </w:r>
      <w:proofErr w:type="gramEnd"/>
      <w:r w:rsidRPr="000400ED">
        <w:rPr>
          <w:lang w:val="en-US"/>
        </w:rPr>
        <w:t xml:space="preserve"> components with a glass substrate.  This revolutionary process enables performance optimized, ultra-miniaturized IC packages and modules.  In addition to wireless sensor modules, discrete components like filters, inductors and antenna appear feasible.</w:t>
      </w:r>
    </w:p>
    <w:p w:rsidR="00857B00" w:rsidRPr="000400ED" w:rsidRDefault="00857B00" w:rsidP="00857B00">
      <w:pPr>
        <w:spacing w:after="0" w:line="240" w:lineRule="auto"/>
        <w:contextualSpacing/>
        <w:mirrorIndents/>
        <w:jc w:val="both"/>
        <w:rPr>
          <w:lang w:val="en-US"/>
        </w:rPr>
      </w:pPr>
    </w:p>
    <w:p w:rsidR="00857B00" w:rsidRPr="000400ED" w:rsidRDefault="00857B00" w:rsidP="00857B00">
      <w:pPr>
        <w:spacing w:after="0" w:line="240" w:lineRule="auto"/>
        <w:contextualSpacing/>
        <w:mirrorIndents/>
        <w:jc w:val="both"/>
        <w:rPr>
          <w:b/>
          <w:lang w:val="en-US"/>
        </w:rPr>
      </w:pPr>
      <w:r w:rsidRPr="000400ED">
        <w:rPr>
          <w:b/>
          <w:lang w:val="en-US"/>
        </w:rPr>
        <w:t>Conclusion</w:t>
      </w:r>
    </w:p>
    <w:p w:rsidR="00857B00" w:rsidRPr="000400ED" w:rsidRDefault="00857B00" w:rsidP="00857B00">
      <w:pPr>
        <w:spacing w:after="0" w:line="240" w:lineRule="auto"/>
        <w:contextualSpacing/>
        <w:mirrorIndents/>
        <w:jc w:val="both"/>
        <w:rPr>
          <w:lang w:val="en-US"/>
        </w:rPr>
      </w:pPr>
    </w:p>
    <w:p w:rsidR="00857B00" w:rsidRPr="000400ED" w:rsidRDefault="00857B00" w:rsidP="00857B00">
      <w:pPr>
        <w:spacing w:after="0" w:line="240" w:lineRule="auto"/>
        <w:contextualSpacing/>
        <w:mirrorIndents/>
        <w:jc w:val="both"/>
        <w:rPr>
          <w:lang w:val="en-US"/>
        </w:rPr>
      </w:pPr>
      <w:r w:rsidRPr="000400ED">
        <w:rPr>
          <w:lang w:val="en-US"/>
        </w:rPr>
        <w:t xml:space="preserve">The next phase of IoT evolution is here.   Next generation IoT developers must consider alternative approaches to product and solution development.   As an emerging solution provided to the IoT, Samtec Microelectronics combines complex IC packaging and assembly, the superior performance benefits of glass substrates and high frequency design with system level signal integrity to develop next generation microelectronics solutions.  </w:t>
      </w:r>
      <w:proofErr w:type="spellStart"/>
      <w:r w:rsidRPr="000400ED">
        <w:rPr>
          <w:lang w:val="en-US"/>
        </w:rPr>
        <w:t>Samtec's</w:t>
      </w:r>
      <w:proofErr w:type="spellEnd"/>
      <w:r w:rsidRPr="000400ED">
        <w:rPr>
          <w:lang w:val="en-US"/>
        </w:rPr>
        <w:t xml:space="preserve"> innovative, world-class products and technologies are optimized for performance, density and cost in various IoT applications.</w:t>
      </w:r>
    </w:p>
    <w:p w:rsidR="00857B00" w:rsidRPr="000400ED" w:rsidRDefault="00857B00" w:rsidP="00857B00">
      <w:pPr>
        <w:spacing w:after="0" w:line="240" w:lineRule="auto"/>
        <w:contextualSpacing/>
        <w:mirrorIndents/>
        <w:jc w:val="both"/>
        <w:rPr>
          <w:b/>
          <w:lang w:val="en-US"/>
        </w:rPr>
      </w:pPr>
    </w:p>
    <w:p w:rsidR="00857B00" w:rsidRPr="000400ED" w:rsidRDefault="00857B00" w:rsidP="00857B00">
      <w:pPr>
        <w:spacing w:after="0" w:line="240" w:lineRule="auto"/>
        <w:contextualSpacing/>
        <w:mirrorIndents/>
        <w:jc w:val="both"/>
        <w:rPr>
          <w:b/>
          <w:lang w:val="en-US"/>
        </w:rPr>
      </w:pPr>
    </w:p>
    <w:p w:rsidR="00857B00" w:rsidRPr="000400ED" w:rsidRDefault="00857B00" w:rsidP="00857B00">
      <w:pPr>
        <w:spacing w:after="0" w:line="240" w:lineRule="auto"/>
        <w:contextualSpacing/>
        <w:mirrorIndents/>
        <w:jc w:val="both"/>
        <w:rPr>
          <w:lang w:val="en-US"/>
        </w:rPr>
      </w:pPr>
      <w:r w:rsidRPr="000400ED">
        <w:rPr>
          <w:lang w:val="en-US"/>
        </w:rPr>
        <w:t>Author bio:</w:t>
      </w:r>
    </w:p>
    <w:p w:rsidR="00857B00" w:rsidRPr="000400ED" w:rsidRDefault="00857B00" w:rsidP="00857B00">
      <w:pPr>
        <w:spacing w:after="0" w:line="240" w:lineRule="auto"/>
        <w:contextualSpacing/>
        <w:mirrorIndents/>
        <w:jc w:val="both"/>
        <w:rPr>
          <w:lang w:val="en-US"/>
        </w:rPr>
      </w:pPr>
      <w:r w:rsidRPr="000400ED">
        <w:rPr>
          <w:rFonts w:cs="Arial"/>
          <w:i/>
          <w:shd w:val="clear" w:color="auto" w:fill="FFFFFF"/>
          <w:lang w:val="en-US"/>
        </w:rPr>
        <w:t xml:space="preserve">Matt Burns is </w:t>
      </w:r>
      <w:proofErr w:type="spellStart"/>
      <w:r w:rsidRPr="000400ED">
        <w:rPr>
          <w:rFonts w:cs="Arial"/>
          <w:i/>
          <w:shd w:val="clear" w:color="auto" w:fill="FFFFFF"/>
          <w:lang w:val="en-US"/>
        </w:rPr>
        <w:t>Samtec’s</w:t>
      </w:r>
      <w:proofErr w:type="spellEnd"/>
      <w:r w:rsidRPr="000400ED">
        <w:rPr>
          <w:rFonts w:cs="Arial"/>
          <w:i/>
          <w:shd w:val="clear" w:color="auto" w:fill="FFFFFF"/>
          <w:lang w:val="en-US"/>
        </w:rPr>
        <w:t xml:space="preserve"> Product Marketing Manager. He develops go-to-market strategies for </w:t>
      </w:r>
      <w:proofErr w:type="spellStart"/>
      <w:r w:rsidRPr="000400ED">
        <w:rPr>
          <w:rFonts w:cs="Arial"/>
          <w:i/>
          <w:shd w:val="clear" w:color="auto" w:fill="FFFFFF"/>
          <w:lang w:val="en-US"/>
        </w:rPr>
        <w:t>Samtec’s</w:t>
      </w:r>
      <w:proofErr w:type="spellEnd"/>
      <w:r w:rsidRPr="000400ED">
        <w:rPr>
          <w:rFonts w:cs="Arial"/>
          <w:i/>
          <w:shd w:val="clear" w:color="auto" w:fill="FFFFFF"/>
          <w:lang w:val="en-US"/>
        </w:rPr>
        <w:t xml:space="preserve"> Silicon to Silicon solutions, and over the course of the last 18 years he has been a leader in design, technical sales and marketing in the telecommunications, medical and electronic components industries. Mr. Burns holds a B.S. in Electrical Engineering from Penn State University.</w:t>
      </w:r>
    </w:p>
    <w:p w:rsidR="00857B00" w:rsidRDefault="00857B00" w:rsidP="00857B00">
      <w:pPr>
        <w:jc w:val="both"/>
        <w:rPr>
          <w:b/>
          <w:sz w:val="32"/>
          <w:szCs w:val="32"/>
          <w:lang w:val="en-US"/>
        </w:rPr>
      </w:pPr>
    </w:p>
    <w:p w:rsidR="00497954" w:rsidRPr="00857B00" w:rsidRDefault="00857B00">
      <w:pPr>
        <w:rPr>
          <w:lang w:val="en-US"/>
        </w:rPr>
      </w:pPr>
    </w:p>
    <w:sectPr w:rsidR="00497954" w:rsidRPr="00857B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E366B"/>
    <w:multiLevelType w:val="hybridMultilevel"/>
    <w:tmpl w:val="B6209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A2F38"/>
    <w:multiLevelType w:val="hybridMultilevel"/>
    <w:tmpl w:val="7C94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99"/>
    <w:multiLevelType w:val="hybridMultilevel"/>
    <w:tmpl w:val="3E80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600F2"/>
    <w:multiLevelType w:val="hybridMultilevel"/>
    <w:tmpl w:val="070A7AF8"/>
    <w:lvl w:ilvl="0" w:tplc="6A26CF0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00"/>
    <w:rsid w:val="00107227"/>
    <w:rsid w:val="00857B00"/>
    <w:rsid w:val="00A10BCA"/>
    <w:rsid w:val="00BA7511"/>
    <w:rsid w:val="00C31AF8"/>
    <w:rsid w:val="00EF5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BCB85-E299-4E3A-95EE-97803289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7B00"/>
    <w:rPr>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B00"/>
    <w:pPr>
      <w:spacing w:after="200" w:line="276" w:lineRule="auto"/>
      <w:ind w:left="720"/>
      <w:contextualSpacing/>
    </w:pPr>
    <w:rPr>
      <w:lang w:eastAsia="en-US" w:bidi="ar-SA"/>
    </w:rPr>
  </w:style>
  <w:style w:type="paragraph" w:styleId="Beschriftung">
    <w:name w:val="caption"/>
    <w:basedOn w:val="Standard"/>
    <w:uiPriority w:val="35"/>
    <w:unhideWhenUsed/>
    <w:qFormat/>
    <w:rsid w:val="00857B00"/>
    <w:pPr>
      <w:spacing w:after="360" w:line="240" w:lineRule="auto"/>
      <w:jc w:val="center"/>
    </w:pPr>
    <w:rPr>
      <w:rFonts w:ascii="Arial" w:hAnsi="Arial" w:cs="Arial"/>
      <w:b/>
      <w:bCs/>
      <w:sz w:val="20"/>
      <w:szCs w:val="20"/>
    </w:rPr>
  </w:style>
  <w:style w:type="table" w:styleId="Tabellenraster">
    <w:name w:val="Table Grid"/>
    <w:basedOn w:val="NormaleTabelle"/>
    <w:uiPriority w:val="59"/>
    <w:rsid w:val="00857B00"/>
    <w:pPr>
      <w:spacing w:after="0" w:line="240" w:lineRule="auto"/>
    </w:pPr>
    <w:rPr>
      <w:lang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10581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Prediger</dc:creator>
  <cp:keywords/>
  <dc:description/>
  <cp:lastModifiedBy>Verena Prediger</cp:lastModifiedBy>
  <cp:revision>1</cp:revision>
  <dcterms:created xsi:type="dcterms:W3CDTF">2018-10-26T08:06:00Z</dcterms:created>
  <dcterms:modified xsi:type="dcterms:W3CDTF">2018-10-26T08:06:00Z</dcterms:modified>
</cp:coreProperties>
</file>