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63102" w14:textId="77777777" w:rsidR="006C2E79" w:rsidRDefault="006C2E79" w:rsidP="006C2E79">
      <w:pPr>
        <w:rPr>
          <w:rFonts w:ascii="Calibri" w:hAnsi="Calibri" w:cs="Calibri"/>
          <w:b/>
          <w:bCs/>
          <w:sz w:val="28"/>
          <w:szCs w:val="28"/>
          <w:lang w:val="en-US"/>
        </w:rPr>
      </w:pPr>
      <w:r w:rsidRPr="006C2E79">
        <w:rPr>
          <w:rFonts w:ascii="Calibri" w:hAnsi="Calibri" w:cs="Calibri"/>
          <w:b/>
          <w:bCs/>
          <w:sz w:val="28"/>
          <w:szCs w:val="28"/>
          <w:lang w:val="en-US"/>
        </w:rPr>
        <w:t>Samtec NovaRay</w:t>
      </w:r>
      <w:r w:rsidRPr="006C2E79">
        <w:rPr>
          <w:rFonts w:ascii="Calibri" w:hAnsi="Calibri" w:cs="Calibri"/>
          <w:b/>
          <w:bCs/>
          <w:sz w:val="28"/>
          <w:szCs w:val="28"/>
          <w:vertAlign w:val="superscript"/>
          <w:lang w:val="en-US"/>
        </w:rPr>
        <w:t>®</w:t>
      </w:r>
      <w:r w:rsidRPr="006C2E79">
        <w:rPr>
          <w:rFonts w:ascii="Calibri" w:hAnsi="Calibri" w:cs="Calibri"/>
          <w:b/>
          <w:bCs/>
          <w:sz w:val="28"/>
          <w:szCs w:val="28"/>
          <w:lang w:val="en-US"/>
        </w:rPr>
        <w:t> Cable Assembly Delivers PAM4 Signals in Dense Designs</w:t>
      </w:r>
    </w:p>
    <w:p w14:paraId="19C4E3E6" w14:textId="77777777" w:rsidR="00B96A22" w:rsidRPr="006C2E79" w:rsidRDefault="00B96A22" w:rsidP="006C2E79">
      <w:pPr>
        <w:rPr>
          <w:rFonts w:ascii="Calibri" w:hAnsi="Calibri" w:cs="Calibri"/>
          <w:b/>
          <w:bCs/>
          <w:sz w:val="28"/>
          <w:szCs w:val="28"/>
          <w:lang w:val="en-US"/>
        </w:rPr>
      </w:pPr>
    </w:p>
    <w:p w14:paraId="4606ACA8" w14:textId="77777777" w:rsidR="006C2E79" w:rsidRPr="006C2E79" w:rsidRDefault="006C2E79" w:rsidP="006C2E79">
      <w:pPr>
        <w:rPr>
          <w:rFonts w:ascii="Calibri" w:hAnsi="Calibri" w:cs="Calibri"/>
          <w:sz w:val="22"/>
          <w:szCs w:val="22"/>
          <w:lang w:val="en-US"/>
        </w:rPr>
      </w:pPr>
      <w:r w:rsidRPr="006C2E79">
        <w:rPr>
          <w:rFonts w:ascii="Calibri" w:hAnsi="Calibri" w:cs="Calibri"/>
          <w:b/>
          <w:bCs/>
          <w:i/>
          <w:iCs/>
          <w:sz w:val="22"/>
          <w:szCs w:val="22"/>
          <w:lang w:val="en-US"/>
        </w:rPr>
        <w:t>Innovative, fully shielded differential pair design enables extremely low crosstalk and tight impedance control.</w:t>
      </w:r>
    </w:p>
    <w:p w14:paraId="5A85A663" w14:textId="55368835" w:rsidR="006C2E79" w:rsidRPr="006C2E79" w:rsidRDefault="006C2E79" w:rsidP="006C2E79">
      <w:pPr>
        <w:rPr>
          <w:rFonts w:ascii="Calibri" w:hAnsi="Calibri" w:cs="Calibri"/>
          <w:sz w:val="22"/>
          <w:szCs w:val="22"/>
          <w:lang w:val="en-US"/>
        </w:rPr>
      </w:pPr>
      <w:r w:rsidRPr="006C2E79">
        <w:rPr>
          <w:rFonts w:ascii="Calibri" w:hAnsi="Calibri" w:cs="Calibri"/>
          <w:sz w:val="22"/>
          <w:szCs w:val="22"/>
          <w:lang w:val="en-US"/>
        </w:rPr>
        <w:t>Samtec, Inc., the service leader in the connector industry, has announced availability of its </w:t>
      </w:r>
      <w:hyperlink r:id="rId4" w:tgtFrame="_blank" w:history="1">
        <w:r w:rsidRPr="006C2E79">
          <w:rPr>
            <w:rStyle w:val="Hyperlink"/>
            <w:rFonts w:ascii="Calibri" w:hAnsi="Calibri" w:cs="Calibri"/>
            <w:sz w:val="22"/>
            <w:szCs w:val="22"/>
            <w:lang w:val="en-US"/>
          </w:rPr>
          <w:t>NovaRay</w:t>
        </w:r>
        <w:r w:rsidRPr="006C2E79">
          <w:rPr>
            <w:rStyle w:val="Hyperlink"/>
            <w:rFonts w:ascii="Calibri" w:hAnsi="Calibri" w:cs="Calibri"/>
            <w:sz w:val="22"/>
            <w:szCs w:val="22"/>
            <w:vertAlign w:val="superscript"/>
            <w:lang w:val="en-US"/>
          </w:rPr>
          <w:t>®</w:t>
        </w:r>
        <w:r w:rsidRPr="006C2E79">
          <w:rPr>
            <w:rStyle w:val="Hyperlink"/>
            <w:rFonts w:ascii="Calibri" w:hAnsi="Calibri" w:cs="Calibri"/>
            <w:sz w:val="22"/>
            <w:szCs w:val="22"/>
            <w:lang w:val="en-US"/>
          </w:rPr>
          <w:t> cable assemblies</w:t>
        </w:r>
      </w:hyperlink>
      <w:r w:rsidRPr="006C2E79">
        <w:rPr>
          <w:rFonts w:ascii="Calibri" w:hAnsi="Calibri" w:cs="Calibri"/>
          <w:sz w:val="22"/>
          <w:szCs w:val="22"/>
          <w:lang w:val="en-US"/>
        </w:rPr>
        <w:t> that combine extreme density and performance by using 40% less space than traditional arrays to support 112 Gbps PAM4 per channel. Applications include datacom, AI/ML, HPC, computer and semiconductor, medical, test and measurement, military/aerospace, and mobile networks.</w:t>
      </w:r>
      <w:hyperlink r:id="rId5" w:tgtFrame="_blank" w:history="1"/>
    </w:p>
    <w:p w14:paraId="544D0F30" w14:textId="77777777" w:rsidR="006C2E79" w:rsidRDefault="006C2E79" w:rsidP="006C2E79">
      <w:pPr>
        <w:rPr>
          <w:rFonts w:ascii="Calibri" w:hAnsi="Calibri" w:cs="Calibri"/>
          <w:sz w:val="22"/>
          <w:szCs w:val="22"/>
          <w:lang w:val="en-US"/>
        </w:rPr>
      </w:pPr>
      <w:r w:rsidRPr="006C2E79">
        <w:rPr>
          <w:rFonts w:ascii="Calibri" w:hAnsi="Calibri" w:cs="Calibri"/>
          <w:sz w:val="22"/>
          <w:szCs w:val="22"/>
          <w:lang w:val="en-US"/>
        </w:rPr>
        <w:t>Samtec’s NovaRay cable assemblies enable extremely low (&lt;30 dB, FEXT and NEXT) crosstalk out to 40 GHz. Operating across -40 to +125˚C, the NovaRay cable assemblies (part number NVAC) are PCIe</w:t>
      </w:r>
      <w:r w:rsidRPr="006C2E79">
        <w:rPr>
          <w:rFonts w:ascii="Calibri" w:hAnsi="Calibri" w:cs="Calibri"/>
          <w:sz w:val="22"/>
          <w:szCs w:val="22"/>
          <w:vertAlign w:val="superscript"/>
          <w:lang w:val="en-US"/>
        </w:rPr>
        <w:t>®</w:t>
      </w:r>
      <w:r w:rsidRPr="006C2E79">
        <w:rPr>
          <w:rFonts w:ascii="Calibri" w:hAnsi="Calibri" w:cs="Calibri"/>
          <w:sz w:val="22"/>
          <w:szCs w:val="22"/>
          <w:lang w:val="en-US"/>
        </w:rPr>
        <w:t>6.0/CXL</w:t>
      </w:r>
      <w:r w:rsidRPr="006C2E79">
        <w:rPr>
          <w:rFonts w:ascii="Calibri" w:hAnsi="Calibri" w:cs="Calibri"/>
          <w:sz w:val="22"/>
          <w:szCs w:val="22"/>
          <w:vertAlign w:val="superscript"/>
          <w:lang w:val="en-US"/>
        </w:rPr>
        <w:t>®</w:t>
      </w:r>
      <w:r w:rsidRPr="006C2E79">
        <w:rPr>
          <w:rFonts w:ascii="Calibri" w:hAnsi="Calibri" w:cs="Calibri"/>
          <w:sz w:val="22"/>
          <w:szCs w:val="22"/>
          <w:lang w:val="en-US"/>
        </w:rPr>
        <w:t> 3.1 capable.</w:t>
      </w:r>
    </w:p>
    <w:p w14:paraId="23C3FDC2" w14:textId="77777777" w:rsidR="00B96A22" w:rsidRDefault="00B96A22" w:rsidP="006C2E79">
      <w:pPr>
        <w:rPr>
          <w:rFonts w:ascii="Calibri" w:hAnsi="Calibri" w:cs="Calibri"/>
          <w:sz w:val="22"/>
          <w:szCs w:val="22"/>
          <w:lang w:val="en-US"/>
        </w:rPr>
      </w:pPr>
    </w:p>
    <w:p w14:paraId="7FEE8A0A" w14:textId="7D32A79A" w:rsidR="00B96A22" w:rsidRPr="006C2E79" w:rsidRDefault="00B96A22" w:rsidP="006C2E79">
      <w:pPr>
        <w:rPr>
          <w:rFonts w:ascii="Calibri" w:hAnsi="Calibri" w:cs="Calibri"/>
          <w:sz w:val="22"/>
          <w:szCs w:val="22"/>
          <w:lang w:val="en-US"/>
        </w:rPr>
      </w:pPr>
      <w:r>
        <w:rPr>
          <w:noProof/>
        </w:rPr>
        <w:drawing>
          <wp:inline distT="0" distB="0" distL="0" distR="0" wp14:anchorId="1B54B675" wp14:editId="1BE8758E">
            <wp:extent cx="3770630" cy="2419350"/>
            <wp:effectExtent l="0" t="0" r="1270" b="0"/>
            <wp:docPr id="731913327" name="Grafik 3" descr="Ein Bild, das Verbindungsstück, Stromversorgung, Elektrische Leitungen, Kab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913327" name="Grafik 3" descr="Ein Bild, das Verbindungsstück, Stromversorgung, Elektrische Leitungen, Kabel enthält.&#10;&#10;Automatisch generierte Beschreibu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7793" r="27313" b="10458"/>
                    <a:stretch/>
                  </pic:blipFill>
                  <pic:spPr bwMode="auto">
                    <a:xfrm>
                      <a:off x="0" y="0"/>
                      <a:ext cx="3772542" cy="2420577"/>
                    </a:xfrm>
                    <a:prstGeom prst="rect">
                      <a:avLst/>
                    </a:prstGeom>
                    <a:noFill/>
                    <a:ln>
                      <a:noFill/>
                    </a:ln>
                    <a:extLst>
                      <a:ext uri="{53640926-AAD7-44D8-BBD7-CCE9431645EC}">
                        <a14:shadowObscured xmlns:a14="http://schemas.microsoft.com/office/drawing/2010/main"/>
                      </a:ext>
                    </a:extLst>
                  </pic:spPr>
                </pic:pic>
              </a:graphicData>
            </a:graphic>
          </wp:inline>
        </w:drawing>
      </w:r>
    </w:p>
    <w:p w14:paraId="2DD5C4E7" w14:textId="6AFF2992" w:rsidR="006C2E79" w:rsidRPr="006C2E79" w:rsidRDefault="006C2E79" w:rsidP="006C2E79">
      <w:pPr>
        <w:rPr>
          <w:rFonts w:ascii="Calibri" w:hAnsi="Calibri" w:cs="Calibri"/>
          <w:sz w:val="22"/>
          <w:szCs w:val="22"/>
          <w:lang w:val="en-US"/>
        </w:rPr>
      </w:pPr>
      <w:r w:rsidRPr="006C2E79">
        <w:rPr>
          <w:rFonts w:ascii="Calibri" w:hAnsi="Calibri" w:cs="Calibri"/>
          <w:sz w:val="22"/>
          <w:szCs w:val="22"/>
          <w:lang w:val="en-US"/>
        </w:rPr>
        <w:t>The innovative design of the Samtec </w:t>
      </w:r>
      <w:hyperlink r:id="rId7" w:tgtFrame="_blank" w:history="1">
        <w:r w:rsidRPr="006C2E79">
          <w:rPr>
            <w:rStyle w:val="Hyperlink"/>
            <w:rFonts w:ascii="Calibri" w:hAnsi="Calibri" w:cs="Calibri"/>
            <w:sz w:val="22"/>
            <w:szCs w:val="22"/>
            <w:lang w:val="en-US"/>
          </w:rPr>
          <w:t>NovaRay connector</w:t>
        </w:r>
      </w:hyperlink>
      <w:r w:rsidRPr="006C2E79">
        <w:rPr>
          <w:rFonts w:ascii="Calibri" w:hAnsi="Calibri" w:cs="Calibri"/>
          <w:sz w:val="22"/>
          <w:szCs w:val="22"/>
          <w:lang w:val="en-US"/>
        </w:rPr>
        <w:t> combines extreme performance with extreme density, which is critical as speeds increase and system sizes decrease. The fully shielded differential pair design and two reliable points of contact contribute to its industry-leading 4.0 Tbps aggregate data rate. The NovaRay cable assemblies include two connectors and are available with optional shielding and latching systems. While End 1 of the NovaRay cable assembly includes a </w:t>
      </w:r>
      <w:hyperlink r:id="rId8" w:tgtFrame="_blank" w:history="1">
        <w:r w:rsidRPr="006C2E79">
          <w:rPr>
            <w:rStyle w:val="Hyperlink"/>
            <w:rFonts w:ascii="Calibri" w:hAnsi="Calibri" w:cs="Calibri"/>
            <w:sz w:val="22"/>
            <w:szCs w:val="22"/>
            <w:lang w:val="en-US"/>
          </w:rPr>
          <w:t>NovaRay connector</w:t>
        </w:r>
      </w:hyperlink>
      <w:r w:rsidRPr="006C2E79">
        <w:rPr>
          <w:rFonts w:ascii="Calibri" w:hAnsi="Calibri" w:cs="Calibri"/>
          <w:sz w:val="22"/>
          <w:szCs w:val="22"/>
          <w:lang w:val="en-US"/>
        </w:rPr>
        <w:t>, designers can select from a variety of End 2 options from the Samtec catalog depending on their application, including </w:t>
      </w:r>
      <w:hyperlink r:id="rId9" w:tgtFrame="_blank" w:history="1">
        <w:r w:rsidRPr="006C2E79">
          <w:rPr>
            <w:rStyle w:val="Hyperlink"/>
            <w:rFonts w:ascii="Calibri" w:hAnsi="Calibri" w:cs="Calibri"/>
            <w:sz w:val="22"/>
            <w:szCs w:val="22"/>
            <w:lang w:val="en-US"/>
          </w:rPr>
          <w:t>FQSFP</w:t>
        </w:r>
      </w:hyperlink>
      <w:r w:rsidRPr="006C2E79">
        <w:rPr>
          <w:rFonts w:ascii="Calibri" w:hAnsi="Calibri" w:cs="Calibri"/>
          <w:sz w:val="22"/>
          <w:szCs w:val="22"/>
          <w:lang w:val="en-US"/>
        </w:rPr>
        <w:t>, </w:t>
      </w:r>
      <w:hyperlink r:id="rId10" w:tgtFrame="_blank" w:history="1">
        <w:r w:rsidRPr="006C2E79">
          <w:rPr>
            <w:rStyle w:val="Hyperlink"/>
            <w:rFonts w:ascii="Calibri" w:hAnsi="Calibri" w:cs="Calibri"/>
            <w:sz w:val="22"/>
            <w:szCs w:val="22"/>
            <w:lang w:val="en-US"/>
          </w:rPr>
          <w:t>NovaRay I/O</w:t>
        </w:r>
      </w:hyperlink>
      <w:r w:rsidRPr="006C2E79">
        <w:rPr>
          <w:rFonts w:ascii="Calibri" w:hAnsi="Calibri" w:cs="Calibri"/>
          <w:sz w:val="22"/>
          <w:szCs w:val="22"/>
          <w:lang w:val="en-US"/>
        </w:rPr>
        <w:t>, </w:t>
      </w:r>
      <w:hyperlink r:id="rId11" w:tgtFrame="_blank" w:history="1">
        <w:r w:rsidRPr="006C2E79">
          <w:rPr>
            <w:rStyle w:val="Hyperlink"/>
            <w:rFonts w:ascii="Calibri" w:hAnsi="Calibri" w:cs="Calibri"/>
            <w:sz w:val="22"/>
            <w:szCs w:val="22"/>
            <w:lang w:val="en-US"/>
          </w:rPr>
          <w:t>ExaMAX</w:t>
        </w:r>
        <w:r w:rsidRPr="006C2E79">
          <w:rPr>
            <w:rStyle w:val="Hyperlink"/>
            <w:rFonts w:ascii="Calibri" w:hAnsi="Calibri" w:cs="Calibri"/>
            <w:sz w:val="22"/>
            <w:szCs w:val="22"/>
            <w:vertAlign w:val="superscript"/>
            <w:lang w:val="en-US"/>
          </w:rPr>
          <w:t>®</w:t>
        </w:r>
        <w:r w:rsidRPr="006C2E79">
          <w:rPr>
            <w:rStyle w:val="Hyperlink"/>
            <w:rFonts w:ascii="Calibri" w:hAnsi="Calibri" w:cs="Calibri"/>
            <w:sz w:val="22"/>
            <w:szCs w:val="22"/>
            <w:lang w:val="en-US"/>
          </w:rPr>
          <w:t> backplane</w:t>
        </w:r>
      </w:hyperlink>
      <w:r w:rsidRPr="006C2E79">
        <w:rPr>
          <w:rFonts w:ascii="Calibri" w:hAnsi="Calibri" w:cs="Calibri"/>
          <w:sz w:val="22"/>
          <w:szCs w:val="22"/>
          <w:lang w:val="en-US"/>
        </w:rPr>
        <w:t>, and upcoming </w:t>
      </w:r>
      <w:hyperlink r:id="rId12" w:tgtFrame="_blank" w:history="1">
        <w:r w:rsidRPr="006C2E79">
          <w:rPr>
            <w:rStyle w:val="Hyperlink"/>
            <w:rFonts w:ascii="Calibri" w:hAnsi="Calibri" w:cs="Calibri"/>
            <w:sz w:val="22"/>
            <w:szCs w:val="22"/>
            <w:lang w:val="en-US"/>
          </w:rPr>
          <w:t>NovaRay backplane</w:t>
        </w:r>
      </w:hyperlink>
      <w:r w:rsidRPr="006C2E79">
        <w:rPr>
          <w:rFonts w:ascii="Calibri" w:hAnsi="Calibri" w:cs="Calibri"/>
          <w:sz w:val="22"/>
          <w:szCs w:val="22"/>
          <w:lang w:val="en-US"/>
        </w:rPr>
        <w:t>.</w:t>
      </w:r>
    </w:p>
    <w:p w14:paraId="302AE040" w14:textId="77777777" w:rsidR="006C2E79" w:rsidRPr="006C2E79" w:rsidRDefault="006C2E79" w:rsidP="006C2E79">
      <w:pPr>
        <w:rPr>
          <w:rFonts w:ascii="Calibri" w:hAnsi="Calibri" w:cs="Calibri"/>
          <w:sz w:val="22"/>
          <w:szCs w:val="22"/>
          <w:lang w:val="en-US"/>
        </w:rPr>
      </w:pPr>
      <w:r w:rsidRPr="006C2E79">
        <w:rPr>
          <w:rFonts w:ascii="Calibri" w:hAnsi="Calibri" w:cs="Calibri"/>
          <w:sz w:val="22"/>
          <w:szCs w:val="22"/>
          <w:lang w:val="en-US"/>
        </w:rPr>
        <w:t>NovaRay cable assemblies are available with 34 AWG EyeSpeed</w:t>
      </w:r>
      <w:r w:rsidRPr="006C2E79">
        <w:rPr>
          <w:rFonts w:ascii="Calibri" w:hAnsi="Calibri" w:cs="Calibri"/>
          <w:sz w:val="22"/>
          <w:szCs w:val="22"/>
          <w:vertAlign w:val="superscript"/>
          <w:lang w:val="en-US"/>
        </w:rPr>
        <w:t>®</w:t>
      </w:r>
      <w:r w:rsidRPr="006C2E79">
        <w:rPr>
          <w:rFonts w:ascii="Calibri" w:hAnsi="Calibri" w:cs="Calibri"/>
          <w:sz w:val="22"/>
          <w:szCs w:val="22"/>
          <w:lang w:val="en-US"/>
        </w:rPr>
        <w:t xml:space="preserve"> ultra-low-skew twinax cable (&lt;3.5 ps/meter). Options include 34 AWG/100 </w:t>
      </w:r>
      <w:r w:rsidRPr="006C2E79">
        <w:rPr>
          <w:rFonts w:ascii="Calibri" w:hAnsi="Calibri" w:cs="Calibri"/>
          <w:sz w:val="22"/>
          <w:szCs w:val="22"/>
        </w:rPr>
        <w:t>Ω</w:t>
      </w:r>
      <w:r w:rsidRPr="006C2E79">
        <w:rPr>
          <w:rFonts w:ascii="Calibri" w:hAnsi="Calibri" w:cs="Calibri"/>
          <w:sz w:val="22"/>
          <w:szCs w:val="22"/>
          <w:lang w:val="en-US"/>
        </w:rPr>
        <w:t xml:space="preserve">, 34 AWG/92 </w:t>
      </w:r>
      <w:r w:rsidRPr="006C2E79">
        <w:rPr>
          <w:rFonts w:ascii="Calibri" w:hAnsi="Calibri" w:cs="Calibri"/>
          <w:sz w:val="22"/>
          <w:szCs w:val="22"/>
        </w:rPr>
        <w:t>Ω</w:t>
      </w:r>
      <w:r w:rsidRPr="006C2E79">
        <w:rPr>
          <w:rFonts w:ascii="Calibri" w:hAnsi="Calibri" w:cs="Calibri"/>
          <w:sz w:val="22"/>
          <w:szCs w:val="22"/>
          <w:lang w:val="en-US"/>
        </w:rPr>
        <w:t>, and 34 AWG Thinax</w:t>
      </w:r>
      <w:r w:rsidRPr="006C2E79">
        <w:rPr>
          <w:rFonts w:ascii="Calibri" w:hAnsi="Calibri" w:cs="Calibri"/>
          <w:sz w:val="22"/>
          <w:szCs w:val="22"/>
          <w:vertAlign w:val="superscript"/>
          <w:lang w:val="en-US"/>
        </w:rPr>
        <w:t>TM</w:t>
      </w:r>
      <w:r w:rsidRPr="006C2E79">
        <w:rPr>
          <w:rFonts w:ascii="Calibri" w:hAnsi="Calibri" w:cs="Calibri"/>
          <w:sz w:val="22"/>
          <w:szCs w:val="22"/>
          <w:lang w:val="en-US"/>
        </w:rPr>
        <w:t xml:space="preserve">/92 </w:t>
      </w:r>
      <w:r w:rsidRPr="006C2E79">
        <w:rPr>
          <w:rFonts w:ascii="Calibri" w:hAnsi="Calibri" w:cs="Calibri"/>
          <w:sz w:val="22"/>
          <w:szCs w:val="22"/>
        </w:rPr>
        <w:t>Ω</w:t>
      </w:r>
      <w:r w:rsidRPr="006C2E79">
        <w:rPr>
          <w:rFonts w:ascii="Calibri" w:hAnsi="Calibri" w:cs="Calibri"/>
          <w:sz w:val="22"/>
          <w:szCs w:val="22"/>
          <w:lang w:val="en-US"/>
        </w:rPr>
        <w:t xml:space="preserve"> ultra-performance cable (with a 40% smaller cross-sectional area). The 92 </w:t>
      </w:r>
      <w:r w:rsidRPr="006C2E79">
        <w:rPr>
          <w:rFonts w:ascii="Calibri" w:hAnsi="Calibri" w:cs="Calibri"/>
          <w:sz w:val="22"/>
          <w:szCs w:val="22"/>
        </w:rPr>
        <w:t>Ω</w:t>
      </w:r>
      <w:r w:rsidRPr="006C2E79">
        <w:rPr>
          <w:rFonts w:ascii="Calibri" w:hAnsi="Calibri" w:cs="Calibri"/>
          <w:sz w:val="22"/>
          <w:szCs w:val="22"/>
          <w:lang w:val="en-US"/>
        </w:rPr>
        <w:t xml:space="preserve"> solutions address both 85 </w:t>
      </w:r>
      <w:r w:rsidRPr="006C2E79">
        <w:rPr>
          <w:rFonts w:ascii="Calibri" w:hAnsi="Calibri" w:cs="Calibri"/>
          <w:sz w:val="22"/>
          <w:szCs w:val="22"/>
        </w:rPr>
        <w:t>Ω</w:t>
      </w:r>
      <w:r w:rsidRPr="006C2E79">
        <w:rPr>
          <w:rFonts w:ascii="Calibri" w:hAnsi="Calibri" w:cs="Calibri"/>
          <w:sz w:val="22"/>
          <w:szCs w:val="22"/>
          <w:lang w:val="en-US"/>
        </w:rPr>
        <w:t xml:space="preserve"> and 100 </w:t>
      </w:r>
      <w:r w:rsidRPr="006C2E79">
        <w:rPr>
          <w:rFonts w:ascii="Calibri" w:hAnsi="Calibri" w:cs="Calibri"/>
          <w:sz w:val="22"/>
          <w:szCs w:val="22"/>
        </w:rPr>
        <w:t>Ω</w:t>
      </w:r>
      <w:r w:rsidRPr="006C2E79">
        <w:rPr>
          <w:rFonts w:ascii="Calibri" w:hAnsi="Calibri" w:cs="Calibri"/>
          <w:sz w:val="22"/>
          <w:szCs w:val="22"/>
          <w:lang w:val="en-US"/>
        </w:rPr>
        <w:t xml:space="preserve"> applications.</w:t>
      </w:r>
    </w:p>
    <w:p w14:paraId="767CB5F6" w14:textId="34EE65C7" w:rsidR="006C2E79" w:rsidRPr="00B96A22" w:rsidRDefault="006C2E79" w:rsidP="006C2E79">
      <w:pPr>
        <w:rPr>
          <w:rFonts w:ascii="Calibri" w:hAnsi="Calibri" w:cs="Calibri"/>
          <w:sz w:val="22"/>
          <w:szCs w:val="22"/>
          <w:lang w:val="en-US"/>
        </w:rPr>
      </w:pPr>
      <w:r w:rsidRPr="006C2E79">
        <w:rPr>
          <w:rFonts w:ascii="Calibri" w:hAnsi="Calibri" w:cs="Calibri"/>
          <w:sz w:val="22"/>
          <w:szCs w:val="22"/>
          <w:lang w:val="en-US"/>
        </w:rPr>
        <w:t>Samtec’s NovaRay cable assemblies are in stock and available now, directly from Samtec or through authorized distributors. Samtec SI experts can be reached directly for design assistance at </w:t>
      </w:r>
      <w:hyperlink r:id="rId13" w:tgtFrame="_blank" w:history="1">
        <w:r w:rsidRPr="006C2E79">
          <w:rPr>
            <w:rStyle w:val="Hyperlink"/>
            <w:rFonts w:ascii="Calibri" w:hAnsi="Calibri" w:cs="Calibri"/>
            <w:sz w:val="22"/>
            <w:szCs w:val="22"/>
            <w:lang w:val="en-US"/>
          </w:rPr>
          <w:t>sig@samtec.com</w:t>
        </w:r>
      </w:hyperlink>
    </w:p>
    <w:p w14:paraId="087C2EA6" w14:textId="77777777" w:rsidR="006C2E79" w:rsidRDefault="006C2E79" w:rsidP="006C2E79">
      <w:pPr>
        <w:rPr>
          <w:rFonts w:ascii="Calibri" w:hAnsi="Calibri" w:cs="Calibri"/>
          <w:b/>
          <w:bCs/>
          <w:sz w:val="22"/>
          <w:szCs w:val="22"/>
          <w:lang w:val="en-US"/>
        </w:rPr>
      </w:pPr>
    </w:p>
    <w:p w14:paraId="5FD0937C" w14:textId="1F16449D" w:rsidR="006C2E79" w:rsidRPr="006C2E79" w:rsidRDefault="006C2E79" w:rsidP="006C2E79">
      <w:pPr>
        <w:rPr>
          <w:rFonts w:ascii="Calibri" w:hAnsi="Calibri" w:cs="Calibri"/>
          <w:sz w:val="22"/>
          <w:szCs w:val="22"/>
          <w:lang w:val="en-US"/>
        </w:rPr>
      </w:pPr>
      <w:r w:rsidRPr="006C2E79">
        <w:rPr>
          <w:rFonts w:ascii="Calibri" w:hAnsi="Calibri" w:cs="Calibri"/>
          <w:b/>
          <w:bCs/>
          <w:sz w:val="22"/>
          <w:szCs w:val="22"/>
          <w:lang w:val="en-US"/>
        </w:rPr>
        <w:t>About Samtec, Inc.</w:t>
      </w:r>
    </w:p>
    <w:p w14:paraId="5FB6D715" w14:textId="77777777" w:rsidR="006C2E79" w:rsidRPr="006C2E79" w:rsidRDefault="006C2E79" w:rsidP="006C2E79">
      <w:pPr>
        <w:rPr>
          <w:rFonts w:ascii="Calibri" w:hAnsi="Calibri" w:cs="Calibri"/>
          <w:sz w:val="22"/>
          <w:szCs w:val="22"/>
          <w:lang w:val="en-US"/>
        </w:rPr>
      </w:pPr>
      <w:r w:rsidRPr="006C2E79">
        <w:rPr>
          <w:rFonts w:ascii="Calibri" w:hAnsi="Calibri" w:cs="Calibri"/>
          <w:sz w:val="22"/>
          <w:szCs w:val="22"/>
          <w:lang w:val="en-US"/>
        </w:rPr>
        <w:t>Founded in 1976, Samtec is a privately held, $1 Billion dollar global manufacturer of a broad line of electronic interconnect solutions, including High-Speed Board-to-Board, High-Speed Cables, Mid-Board and Panel Optics, Precision RF, Flexible Stacking, and Micro/Rugged components and cables. Samtec Technology Centers are dedicated to developing and advancing technologies, strategies, and products to optimize both the performance and cost of a system from the bare die to an interface 100 meters away, and all interconnect points in between. With 40+ international locations and products sold in more than 125 different countries, Samtec’s global presence enables its unmatched customer service. For more information, please visit: </w:t>
      </w:r>
      <w:hyperlink r:id="rId14" w:tgtFrame="_blank" w:history="1">
        <w:r w:rsidRPr="006C2E79">
          <w:rPr>
            <w:rStyle w:val="Hyperlink"/>
            <w:rFonts w:ascii="Calibri" w:hAnsi="Calibri" w:cs="Calibri"/>
            <w:sz w:val="22"/>
            <w:szCs w:val="22"/>
            <w:lang w:val="en-US"/>
          </w:rPr>
          <w:t>http://www.samtec.com</w:t>
        </w:r>
      </w:hyperlink>
      <w:r w:rsidRPr="006C2E79">
        <w:rPr>
          <w:rFonts w:ascii="Calibri" w:hAnsi="Calibri" w:cs="Calibri"/>
          <w:sz w:val="22"/>
          <w:szCs w:val="22"/>
          <w:lang w:val="en-US"/>
        </w:rPr>
        <w:t>.</w:t>
      </w:r>
    </w:p>
    <w:p w14:paraId="5AEA6BAE" w14:textId="77777777" w:rsidR="006C2E79" w:rsidRPr="006C2E79" w:rsidRDefault="006C2E79">
      <w:pPr>
        <w:rPr>
          <w:rFonts w:ascii="Calibri" w:hAnsi="Calibri" w:cs="Calibri"/>
          <w:sz w:val="22"/>
          <w:szCs w:val="22"/>
          <w:lang w:val="en-US"/>
        </w:rPr>
      </w:pPr>
    </w:p>
    <w:sectPr w:rsidR="006C2E79" w:rsidRPr="006C2E79">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E79"/>
    <w:rsid w:val="002C05A0"/>
    <w:rsid w:val="006C2E79"/>
    <w:rsid w:val="00B96A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7AE11BB"/>
  <w15:chartTrackingRefBased/>
  <w15:docId w15:val="{77FB82C6-2627-4E85-B931-FF29B5B7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C2E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C2E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C2E7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C2E7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C2E7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C2E7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C2E7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C2E7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C2E7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2E7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C2E7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C2E7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C2E7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C2E7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C2E7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C2E7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C2E7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C2E79"/>
    <w:rPr>
      <w:rFonts w:eastAsiaTheme="majorEastAsia" w:cstheme="majorBidi"/>
      <w:color w:val="272727" w:themeColor="text1" w:themeTint="D8"/>
    </w:rPr>
  </w:style>
  <w:style w:type="paragraph" w:styleId="Titel">
    <w:name w:val="Title"/>
    <w:basedOn w:val="Standard"/>
    <w:next w:val="Standard"/>
    <w:link w:val="TitelZchn"/>
    <w:uiPriority w:val="10"/>
    <w:qFormat/>
    <w:rsid w:val="006C2E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C2E7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C2E7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C2E7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C2E7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C2E79"/>
    <w:rPr>
      <w:i/>
      <w:iCs/>
      <w:color w:val="404040" w:themeColor="text1" w:themeTint="BF"/>
    </w:rPr>
  </w:style>
  <w:style w:type="paragraph" w:styleId="Listenabsatz">
    <w:name w:val="List Paragraph"/>
    <w:basedOn w:val="Standard"/>
    <w:uiPriority w:val="34"/>
    <w:qFormat/>
    <w:rsid w:val="006C2E79"/>
    <w:pPr>
      <w:ind w:left="720"/>
      <w:contextualSpacing/>
    </w:pPr>
  </w:style>
  <w:style w:type="character" w:styleId="IntensiveHervorhebung">
    <w:name w:val="Intense Emphasis"/>
    <w:basedOn w:val="Absatz-Standardschriftart"/>
    <w:uiPriority w:val="21"/>
    <w:qFormat/>
    <w:rsid w:val="006C2E79"/>
    <w:rPr>
      <w:i/>
      <w:iCs/>
      <w:color w:val="0F4761" w:themeColor="accent1" w:themeShade="BF"/>
    </w:rPr>
  </w:style>
  <w:style w:type="paragraph" w:styleId="IntensivesZitat">
    <w:name w:val="Intense Quote"/>
    <w:basedOn w:val="Standard"/>
    <w:next w:val="Standard"/>
    <w:link w:val="IntensivesZitatZchn"/>
    <w:uiPriority w:val="30"/>
    <w:qFormat/>
    <w:rsid w:val="006C2E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C2E79"/>
    <w:rPr>
      <w:i/>
      <w:iCs/>
      <w:color w:val="0F4761" w:themeColor="accent1" w:themeShade="BF"/>
    </w:rPr>
  </w:style>
  <w:style w:type="character" w:styleId="IntensiverVerweis">
    <w:name w:val="Intense Reference"/>
    <w:basedOn w:val="Absatz-Standardschriftart"/>
    <w:uiPriority w:val="32"/>
    <w:qFormat/>
    <w:rsid w:val="006C2E79"/>
    <w:rPr>
      <w:b/>
      <w:bCs/>
      <w:smallCaps/>
      <w:color w:val="0F4761" w:themeColor="accent1" w:themeShade="BF"/>
      <w:spacing w:val="5"/>
    </w:rPr>
  </w:style>
  <w:style w:type="character" w:styleId="Hyperlink">
    <w:name w:val="Hyperlink"/>
    <w:basedOn w:val="Absatz-Standardschriftart"/>
    <w:uiPriority w:val="99"/>
    <w:unhideWhenUsed/>
    <w:rsid w:val="006C2E79"/>
    <w:rPr>
      <w:color w:val="467886" w:themeColor="hyperlink"/>
      <w:u w:val="single"/>
    </w:rPr>
  </w:style>
  <w:style w:type="character" w:styleId="NichtaufgelsteErwhnung">
    <w:name w:val="Unresolved Mention"/>
    <w:basedOn w:val="Absatz-Standardschriftart"/>
    <w:uiPriority w:val="99"/>
    <w:semiHidden/>
    <w:unhideWhenUsed/>
    <w:rsid w:val="006C2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42604">
      <w:bodyDiv w:val="1"/>
      <w:marLeft w:val="0"/>
      <w:marRight w:val="0"/>
      <w:marTop w:val="0"/>
      <w:marBottom w:val="0"/>
      <w:divBdr>
        <w:top w:val="none" w:sz="0" w:space="0" w:color="auto"/>
        <w:left w:val="none" w:sz="0" w:space="0" w:color="auto"/>
        <w:bottom w:val="none" w:sz="0" w:space="0" w:color="auto"/>
        <w:right w:val="none" w:sz="0" w:space="0" w:color="auto"/>
      </w:divBdr>
    </w:div>
    <w:div w:id="1346328088">
      <w:bodyDiv w:val="1"/>
      <w:marLeft w:val="0"/>
      <w:marRight w:val="0"/>
      <w:marTop w:val="0"/>
      <w:marBottom w:val="0"/>
      <w:divBdr>
        <w:top w:val="none" w:sz="0" w:space="0" w:color="auto"/>
        <w:left w:val="none" w:sz="0" w:space="0" w:color="auto"/>
        <w:bottom w:val="none" w:sz="0" w:space="0" w:color="auto"/>
        <w:right w:val="none" w:sz="0" w:space="0" w:color="auto"/>
      </w:divBdr>
    </w:div>
    <w:div w:id="1444105464">
      <w:bodyDiv w:val="1"/>
      <w:marLeft w:val="0"/>
      <w:marRight w:val="0"/>
      <w:marTop w:val="0"/>
      <w:marBottom w:val="0"/>
      <w:divBdr>
        <w:top w:val="none" w:sz="0" w:space="0" w:color="auto"/>
        <w:left w:val="none" w:sz="0" w:space="0" w:color="auto"/>
        <w:bottom w:val="none" w:sz="0" w:space="0" w:color="auto"/>
        <w:right w:val="none" w:sz="0" w:space="0" w:color="auto"/>
      </w:divBdr>
    </w:div>
    <w:div w:id="176549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tec.com/products/nvam" TargetMode="External"/><Relationship Id="rId13" Type="http://schemas.openxmlformats.org/officeDocument/2006/relationships/hyperlink" Target="mailto:sig@samtec.com" TargetMode="External"/><Relationship Id="rId3" Type="http://schemas.openxmlformats.org/officeDocument/2006/relationships/webSettings" Target="webSettings.xml"/><Relationship Id="rId7" Type="http://schemas.openxmlformats.org/officeDocument/2006/relationships/hyperlink" Target="https://www.samtec.com/connectors/high-speed-board-to-board/high-density-arrays/novaray" TargetMode="External"/><Relationship Id="rId12" Type="http://schemas.openxmlformats.org/officeDocument/2006/relationships/hyperlink" Target="https://www.samtec.com/connectors/backplane/high-speed-backplane-systems/novaray-backplan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amtec.com/connectors/backplane/high-speed-backplane-systems/examax" TargetMode="External"/><Relationship Id="rId5" Type="http://schemas.openxmlformats.org/officeDocument/2006/relationships/hyperlink" Target="https://pr.ezwire.com/Samtec/2024-06%20-%20Samtec/2024-06-04_-_Samtec_PR_Nova_Ray_Cable/NovaRayCable-Family_CT.jpg" TargetMode="External"/><Relationship Id="rId15" Type="http://schemas.openxmlformats.org/officeDocument/2006/relationships/fontTable" Target="fontTable.xml"/><Relationship Id="rId10" Type="http://schemas.openxmlformats.org/officeDocument/2006/relationships/hyperlink" Target="https://www.samtec.com/cables/panel/high-speed/novaray-io" TargetMode="External"/><Relationship Id="rId4" Type="http://schemas.openxmlformats.org/officeDocument/2006/relationships/hyperlink" Target="https://www.samtec.com/products/nvac" TargetMode="External"/><Relationship Id="rId9" Type="http://schemas.openxmlformats.org/officeDocument/2006/relationships/hyperlink" Target="https://www.samtec.com/products/fqsfp" TargetMode="External"/><Relationship Id="rId14" Type="http://schemas.openxmlformats.org/officeDocument/2006/relationships/hyperlink" Target="http://www.samtec.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3135</Characters>
  <Application>Microsoft Office Word</Application>
  <DocSecurity>0</DocSecurity>
  <Lines>26</Lines>
  <Paragraphs>7</Paragraphs>
  <ScaleCrop>false</ScaleCrop>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Zimmerle</dc:creator>
  <cp:keywords/>
  <dc:description/>
  <cp:lastModifiedBy>Verena Zimmerle</cp:lastModifiedBy>
  <cp:revision>2</cp:revision>
  <dcterms:created xsi:type="dcterms:W3CDTF">2024-10-30T07:43:00Z</dcterms:created>
  <dcterms:modified xsi:type="dcterms:W3CDTF">2024-10-30T07:47:00Z</dcterms:modified>
</cp:coreProperties>
</file>