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D7A" w:rsidRPr="005E200E" w:rsidRDefault="00D30D7A" w:rsidP="00D30D7A">
      <w:pPr>
        <w:shd w:val="clear" w:color="auto" w:fill="FFFFFF"/>
        <w:jc w:val="both"/>
        <w:rPr>
          <w:b/>
          <w:bCs/>
          <w:color w:val="222222"/>
          <w:sz w:val="28"/>
          <w:szCs w:val="28"/>
          <w:lang w:val="de-DE"/>
        </w:rPr>
      </w:pPr>
      <w:proofErr w:type="spellStart"/>
      <w:r w:rsidRPr="005E200E">
        <w:rPr>
          <w:b/>
          <w:color w:val="222222"/>
          <w:sz w:val="28"/>
          <w:lang w:val="de-DE"/>
        </w:rPr>
        <w:t>IoT</w:t>
      </w:r>
      <w:proofErr w:type="spellEnd"/>
      <w:r w:rsidRPr="005E200E">
        <w:rPr>
          <w:b/>
          <w:color w:val="222222"/>
          <w:sz w:val="28"/>
          <w:lang w:val="de-DE"/>
        </w:rPr>
        <w:t>-Anwendungen der nächsten Generation müssen schrumpfen</w:t>
      </w:r>
    </w:p>
    <w:p w:rsidR="00D30D7A" w:rsidRDefault="00D30D7A" w:rsidP="00D30D7A">
      <w:pPr>
        <w:spacing w:after="0" w:line="240" w:lineRule="auto"/>
        <w:jc w:val="both"/>
        <w:rPr>
          <w:color w:val="000000"/>
          <w:lang w:val="de-DE"/>
        </w:rPr>
      </w:pPr>
    </w:p>
    <w:p w:rsidR="00D30D7A" w:rsidRPr="005E200E" w:rsidRDefault="00D30D7A" w:rsidP="00D30D7A">
      <w:pPr>
        <w:spacing w:after="0" w:line="240" w:lineRule="auto"/>
        <w:jc w:val="both"/>
        <w:rPr>
          <w:lang w:val="de-DE"/>
        </w:rPr>
      </w:pPr>
      <w:r w:rsidRPr="005E200E">
        <w:rPr>
          <w:lang w:val="de-DE"/>
        </w:rPr>
        <w:t xml:space="preserve">Prognosen aus der Branche haben früh </w:t>
      </w:r>
      <w:proofErr w:type="spellStart"/>
      <w:r w:rsidRPr="005E200E">
        <w:rPr>
          <w:lang w:val="de-DE"/>
        </w:rPr>
        <w:t>IoT</w:t>
      </w:r>
      <w:proofErr w:type="spellEnd"/>
      <w:r w:rsidRPr="005E200E">
        <w:rPr>
          <w:lang w:val="de-DE"/>
        </w:rPr>
        <w:t xml:space="preserve">-Anwendungen wie das intelligente Heim, Wearables, die Smart City, das vernetzte Auto und andere vorhergesagt.  Die nächste Generation wird die reale mit der virtuellen Welt verschmelzen und die Synergien der allgegenwärtigen Vernetzung, des Cloud-Computing und Big Data nutzen.  In den Anfängen des </w:t>
      </w:r>
      <w:proofErr w:type="spellStart"/>
      <w:r w:rsidRPr="005E200E">
        <w:rPr>
          <w:lang w:val="de-DE"/>
        </w:rPr>
        <w:t>IoT</w:t>
      </w:r>
      <w:proofErr w:type="spellEnd"/>
      <w:r w:rsidRPr="005E200E">
        <w:rPr>
          <w:lang w:val="de-DE"/>
        </w:rPr>
        <w:t xml:space="preserve"> wurde das Wachstum durch Einzelne vorangetrieben.  Die nächste Stufe der </w:t>
      </w:r>
      <w:proofErr w:type="spellStart"/>
      <w:r w:rsidRPr="005E200E">
        <w:rPr>
          <w:lang w:val="de-DE"/>
        </w:rPr>
        <w:t>IoT</w:t>
      </w:r>
      <w:proofErr w:type="spellEnd"/>
      <w:r w:rsidRPr="005E200E">
        <w:rPr>
          <w:lang w:val="de-DE"/>
        </w:rPr>
        <w:t>-Evolution wird der Wegbereiter für die nächste Stufe der industriellen Revolution sein – die Industrie 4.0.</w:t>
      </w:r>
    </w:p>
    <w:p w:rsidR="00D30D7A" w:rsidRPr="005E200E" w:rsidRDefault="00D30D7A" w:rsidP="00D30D7A">
      <w:pPr>
        <w:spacing w:after="0" w:line="240" w:lineRule="auto"/>
        <w:jc w:val="both"/>
        <w:rPr>
          <w:lang w:val="de-DE"/>
        </w:rPr>
      </w:pPr>
    </w:p>
    <w:p w:rsidR="00D30D7A" w:rsidRPr="005E200E" w:rsidRDefault="00D30D7A" w:rsidP="00D30D7A">
      <w:pPr>
        <w:spacing w:after="0" w:line="240" w:lineRule="auto"/>
        <w:jc w:val="both"/>
        <w:rPr>
          <w:lang w:val="de-DE"/>
        </w:rPr>
      </w:pPr>
      <w:r w:rsidRPr="005E200E">
        <w:rPr>
          <w:lang w:val="de-DE"/>
        </w:rPr>
        <w:t>Um die Innovationsstufe zu erreichen, die die Industrie 4.0 erfordert, müssen neue Ansätze für bekannte Herausforderungen gefunden werden.  Die Vernetzung und Automation aller Unternehmensbereiche sind das oberste Gebot.  Disparate Systeme müssen integriert werden.  Proprietäre Schnittstellen und Prozesse müssen standardisiert werden.  Neue Technologien verlangen nach Forschung, Entwicklung und Kommerzialisierung.  Neue Partner und neue Anbieter erfordern strenge Überprüfungen und Kontrollen.</w:t>
      </w:r>
    </w:p>
    <w:p w:rsidR="00D30D7A" w:rsidRPr="005E200E" w:rsidRDefault="00D30D7A" w:rsidP="00D30D7A">
      <w:pPr>
        <w:spacing w:after="0" w:line="240" w:lineRule="auto"/>
        <w:jc w:val="both"/>
        <w:rPr>
          <w:lang w:val="de-DE"/>
        </w:rPr>
      </w:pPr>
    </w:p>
    <w:p w:rsidR="00D30D7A" w:rsidRPr="005E200E" w:rsidRDefault="00D30D7A" w:rsidP="00D30D7A">
      <w:pPr>
        <w:spacing w:after="0" w:line="240" w:lineRule="auto"/>
        <w:jc w:val="both"/>
        <w:rPr>
          <w:lang w:val="de-DE"/>
        </w:rPr>
      </w:pPr>
      <w:r w:rsidRPr="005E200E">
        <w:rPr>
          <w:lang w:val="de-DE"/>
        </w:rPr>
        <w:t xml:space="preserve">Es gibt immer mehr Beispiele von eingefahrenen Branchen, die sich jetzt neue Ansätze zu eigen machen.  In den letzten Jahren hat Lufthansa Technik zusammen mit der Wissenschaft, mit Startups und mit eigenen Spezialisten daran gearbeitet, Industrie-4.0-Konzepte auf ihre Abteilungen Fahrwerk, Triebwerke und Instandhaltung anzuwenden.  Aus dieser Zusammenarbeit sind verschiedene Konzepte hervorgegangen, die von der Anzeige von Fernmessdaten auf Mobilgeräten bis zur effektiven Verlinkung unterschiedlicher IT-Systeme reichen.  </w:t>
      </w:r>
    </w:p>
    <w:p w:rsidR="00D30D7A" w:rsidRPr="005E200E" w:rsidRDefault="00D30D7A" w:rsidP="00D30D7A">
      <w:pPr>
        <w:spacing w:after="0" w:line="240" w:lineRule="auto"/>
        <w:jc w:val="both"/>
        <w:rPr>
          <w:lang w:val="de-DE"/>
        </w:rPr>
      </w:pPr>
    </w:p>
    <w:p w:rsidR="00D30D7A" w:rsidRPr="005E200E" w:rsidRDefault="00D30D7A" w:rsidP="00D30D7A">
      <w:pPr>
        <w:spacing w:after="0" w:line="240" w:lineRule="auto"/>
        <w:jc w:val="both"/>
        <w:rPr>
          <w:lang w:val="de-DE"/>
        </w:rPr>
      </w:pPr>
      <w:r w:rsidRPr="005E200E">
        <w:rPr>
          <w:lang w:val="de-DE"/>
        </w:rPr>
        <w:t xml:space="preserve">Die Revolution durch Industrie 4.0 und die Ausbreitung des </w:t>
      </w:r>
      <w:proofErr w:type="spellStart"/>
      <w:r w:rsidRPr="005E200E">
        <w:rPr>
          <w:lang w:val="de-DE"/>
        </w:rPr>
        <w:t>IoT</w:t>
      </w:r>
      <w:proofErr w:type="spellEnd"/>
      <w:r w:rsidRPr="005E200E">
        <w:rPr>
          <w:lang w:val="de-DE"/>
        </w:rPr>
        <w:t xml:space="preserve"> erfordern hoch entwickelte Innovationsverfahren für die Mikroelektronik.  Modernste Anwendungen brauchen eine kundenspezifische sowie robuste oder präzise Aufbau- und Verbindungstechnik für die Mikroelektronik.  Originalhersteller aus vielen Branchen streben unablässig danach, den Platzbedarf ihrer Hardware auf der Platine zu verringern.  Moderne Lösungen verlangen nach mehr Funktionalität und Integration.  Bei einigen Produkten gehen all diese Anforderungen nahtlos ineinander über.</w:t>
      </w:r>
    </w:p>
    <w:p w:rsidR="00D30D7A" w:rsidRPr="005E200E" w:rsidRDefault="00D30D7A" w:rsidP="00D30D7A">
      <w:pPr>
        <w:spacing w:after="0" w:line="240" w:lineRule="auto"/>
        <w:jc w:val="both"/>
        <w:rPr>
          <w:lang w:val="de-DE"/>
        </w:rPr>
      </w:pPr>
    </w:p>
    <w:p w:rsidR="00D30D7A" w:rsidRPr="005E200E" w:rsidRDefault="00D30D7A" w:rsidP="00D30D7A">
      <w:pPr>
        <w:spacing w:after="0" w:line="240" w:lineRule="auto"/>
        <w:jc w:val="both"/>
        <w:rPr>
          <w:lang w:val="de-DE"/>
        </w:rPr>
      </w:pPr>
      <w:r w:rsidRPr="005E200E">
        <w:rPr>
          <w:lang w:val="de-DE"/>
        </w:rPr>
        <w:t xml:space="preserve">Die technologischen Trends hinter der Industrie 4.0 und dem </w:t>
      </w:r>
      <w:proofErr w:type="spellStart"/>
      <w:r w:rsidRPr="005E200E">
        <w:rPr>
          <w:lang w:val="de-DE"/>
        </w:rPr>
        <w:t>IoT</w:t>
      </w:r>
      <w:proofErr w:type="spellEnd"/>
      <w:r w:rsidRPr="005E200E">
        <w:rPr>
          <w:lang w:val="de-DE"/>
        </w:rPr>
        <w:t xml:space="preserve"> zwingen die traditionellen OEM-Anbieter zur Anpassung.  Samtec, ein globaler Hersteller einer großen Produktlinie an elektronischen Verbindungslösungen, hat ein wachsendes Portfolio an hoch entwickelten mikroelektronischen Fähigkeiten entwickelt. Samtec </w:t>
      </w:r>
      <w:proofErr w:type="spellStart"/>
      <w:r w:rsidRPr="005E200E">
        <w:rPr>
          <w:lang w:val="de-DE"/>
        </w:rPr>
        <w:t>Microelectronics</w:t>
      </w:r>
      <w:proofErr w:type="spellEnd"/>
      <w:r w:rsidRPr="005E200E">
        <w:rPr>
          <w:lang w:val="de-DE"/>
        </w:rPr>
        <w:t xml:space="preserve"> vereint komplexe Aufbau- und Verbindungstechnik, die überlegenen Eigenschaften von Glassubstraten und das HF-Design mit höchster Signalintegrität auf Systemebene, um so die nächste Generation an mikroelektronischen Lösungen zu entwickeln.  </w:t>
      </w:r>
    </w:p>
    <w:p w:rsidR="00D30D7A" w:rsidRPr="005E200E" w:rsidRDefault="00D30D7A" w:rsidP="00D30D7A">
      <w:pPr>
        <w:spacing w:after="0" w:line="240" w:lineRule="auto"/>
        <w:jc w:val="both"/>
        <w:rPr>
          <w:lang w:val="de-DE"/>
        </w:rPr>
      </w:pPr>
    </w:p>
    <w:p w:rsidR="00D30D7A" w:rsidRPr="005E200E" w:rsidRDefault="00D30D7A" w:rsidP="00D30D7A">
      <w:pPr>
        <w:spacing w:after="0" w:line="240" w:lineRule="auto"/>
        <w:jc w:val="both"/>
        <w:rPr>
          <w:lang w:val="de-DE"/>
        </w:rPr>
      </w:pPr>
      <w:proofErr w:type="spellStart"/>
      <w:r w:rsidRPr="005E200E">
        <w:rPr>
          <w:lang w:val="de-DE"/>
        </w:rPr>
        <w:t>Samtecs</w:t>
      </w:r>
      <w:proofErr w:type="spellEnd"/>
      <w:r w:rsidRPr="005E200E">
        <w:rPr>
          <w:lang w:val="de-DE"/>
        </w:rPr>
        <w:t xml:space="preserve"> innovative Produkte und Technologien von Weltklasse sind auf Leistung, Dichte und Kosten in den verschiedensten Industrie-4.0-Anwendungen hin optimiert. Zu den Fähigkeiten von Samtec </w:t>
      </w:r>
      <w:proofErr w:type="spellStart"/>
      <w:r w:rsidRPr="005E200E">
        <w:rPr>
          <w:lang w:val="de-DE"/>
        </w:rPr>
        <w:t>Microelectronics</w:t>
      </w:r>
      <w:proofErr w:type="spellEnd"/>
      <w:r w:rsidRPr="005E200E">
        <w:rPr>
          <w:lang w:val="de-DE"/>
        </w:rPr>
        <w:t xml:space="preserve"> zählen eine hochmoderne Aufbau- und Verbindungstechnik, Glass Core Technology™, </w:t>
      </w:r>
      <w:proofErr w:type="spellStart"/>
      <w:r w:rsidRPr="005E200E">
        <w:rPr>
          <w:lang w:val="de-DE"/>
        </w:rPr>
        <w:t>nMode</w:t>
      </w:r>
      <w:proofErr w:type="spellEnd"/>
      <w:r w:rsidRPr="005E200E">
        <w:rPr>
          <w:lang w:val="de-DE"/>
        </w:rPr>
        <w:t>™-Module sowie Services in den Bereichen Bauelemente und mikroelektronisches Design.</w:t>
      </w:r>
    </w:p>
    <w:p w:rsidR="00D30D7A" w:rsidRPr="005E200E" w:rsidRDefault="00D30D7A" w:rsidP="00D30D7A">
      <w:pPr>
        <w:spacing w:after="0" w:line="240" w:lineRule="auto"/>
        <w:jc w:val="both"/>
        <w:rPr>
          <w:lang w:val="de-DE"/>
        </w:rPr>
      </w:pPr>
    </w:p>
    <w:p w:rsidR="00D30D7A" w:rsidRDefault="00D30D7A" w:rsidP="00D30D7A">
      <w:pPr>
        <w:jc w:val="both"/>
        <w:rPr>
          <w:b/>
          <w:lang w:val="de-DE"/>
        </w:rPr>
      </w:pPr>
    </w:p>
    <w:p w:rsidR="00D30D7A" w:rsidRDefault="00D30D7A" w:rsidP="00D30D7A">
      <w:pPr>
        <w:jc w:val="both"/>
        <w:rPr>
          <w:b/>
          <w:lang w:val="de-DE"/>
        </w:rPr>
      </w:pPr>
    </w:p>
    <w:p w:rsidR="00D30D7A" w:rsidRDefault="00D30D7A" w:rsidP="00D30D7A">
      <w:pPr>
        <w:jc w:val="both"/>
        <w:rPr>
          <w:b/>
          <w:color w:val="222222"/>
          <w:sz w:val="28"/>
          <w:lang w:val="de-DE"/>
        </w:rPr>
      </w:pPr>
    </w:p>
    <w:p w:rsidR="00D30D7A" w:rsidRDefault="00D30D7A" w:rsidP="00D30D7A">
      <w:pPr>
        <w:jc w:val="both"/>
        <w:rPr>
          <w:b/>
          <w:color w:val="222222"/>
          <w:sz w:val="28"/>
          <w:lang w:val="de-DE"/>
        </w:rPr>
      </w:pPr>
    </w:p>
    <w:p w:rsidR="00D30D7A" w:rsidRDefault="00D30D7A" w:rsidP="00D30D7A">
      <w:pPr>
        <w:jc w:val="both"/>
        <w:rPr>
          <w:b/>
          <w:lang w:val="de-DE"/>
        </w:rPr>
      </w:pPr>
      <w:proofErr w:type="spellStart"/>
      <w:r w:rsidRPr="005E200E">
        <w:rPr>
          <w:b/>
          <w:color w:val="222222"/>
          <w:sz w:val="28"/>
          <w:lang w:val="de-DE"/>
        </w:rPr>
        <w:lastRenderedPageBreak/>
        <w:t>IoT</w:t>
      </w:r>
      <w:proofErr w:type="spellEnd"/>
      <w:r w:rsidRPr="005E200E">
        <w:rPr>
          <w:b/>
          <w:color w:val="222222"/>
          <w:sz w:val="28"/>
          <w:lang w:val="de-DE"/>
        </w:rPr>
        <w:t>-Anwendungen der nächsten Generation müssen schrumpfen</w:t>
      </w:r>
    </w:p>
    <w:p w:rsidR="00D30D7A" w:rsidRPr="005E200E" w:rsidRDefault="00D30D7A" w:rsidP="00D30D7A">
      <w:pPr>
        <w:jc w:val="both"/>
        <w:rPr>
          <w:b/>
          <w:lang w:val="de-DE"/>
        </w:rPr>
      </w:pPr>
      <w:r w:rsidRPr="005E200E">
        <w:rPr>
          <w:b/>
          <w:lang w:val="de-DE"/>
        </w:rPr>
        <w:t>Hochmoderne Aufbau- und Verbindungstechnik</w:t>
      </w:r>
    </w:p>
    <w:p w:rsidR="00D30D7A" w:rsidRPr="005E200E" w:rsidRDefault="00D30D7A" w:rsidP="00D30D7A">
      <w:pPr>
        <w:spacing w:after="0" w:line="240" w:lineRule="auto"/>
        <w:jc w:val="both"/>
        <w:rPr>
          <w:lang w:val="de-DE"/>
        </w:rPr>
      </w:pPr>
      <w:r w:rsidRPr="005E200E">
        <w:rPr>
          <w:lang w:val="de-DE"/>
        </w:rPr>
        <w:t xml:space="preserve">Samtec </w:t>
      </w:r>
      <w:proofErr w:type="spellStart"/>
      <w:r w:rsidRPr="005E200E">
        <w:rPr>
          <w:lang w:val="de-DE"/>
        </w:rPr>
        <w:t>Microelectronics</w:t>
      </w:r>
      <w:proofErr w:type="spellEnd"/>
      <w:r w:rsidRPr="005E200E">
        <w:rPr>
          <w:lang w:val="de-DE"/>
        </w:rPr>
        <w:t xml:space="preserve"> ist ein Anbieter von Aufbau- und Verbindungstechnik höchster Güte.  Samtec arbeitet mit OEMs aus den Bereichen Medizin und Industrie und mit anderen Entwicklern von </w:t>
      </w:r>
      <w:proofErr w:type="spellStart"/>
      <w:r w:rsidRPr="005E200E">
        <w:rPr>
          <w:lang w:val="de-DE"/>
        </w:rPr>
        <w:t>IoT</w:t>
      </w:r>
      <w:proofErr w:type="spellEnd"/>
      <w:r w:rsidRPr="005E200E">
        <w:rPr>
          <w:lang w:val="de-DE"/>
        </w:rPr>
        <w:t>-Anwendungen auf der ganzen Welt zusammen, deren Lösungen nicht nur ein Mehr an Leistung, Zuverlässigkeit und Lebensdauer erfordern, sondern auch eine robuste Anbindung und Vernetzung.</w:t>
      </w:r>
    </w:p>
    <w:p w:rsidR="00D30D7A" w:rsidRPr="005E200E" w:rsidRDefault="00D30D7A" w:rsidP="00D30D7A">
      <w:pPr>
        <w:spacing w:after="0" w:line="240" w:lineRule="auto"/>
        <w:jc w:val="both"/>
        <w:rPr>
          <w:lang w:val="de-DE"/>
        </w:rPr>
      </w:pPr>
    </w:p>
    <w:p w:rsidR="00D30D7A" w:rsidRDefault="00D30D7A" w:rsidP="00D30D7A">
      <w:pPr>
        <w:spacing w:after="0" w:line="240" w:lineRule="auto"/>
        <w:jc w:val="both"/>
        <w:rPr>
          <w:lang w:val="de-DE"/>
        </w:rPr>
      </w:pPr>
      <w:r w:rsidRPr="005E200E">
        <w:rPr>
          <w:lang w:val="de-DE"/>
        </w:rPr>
        <w:t xml:space="preserve">Zu den Kernkompetenzen von Samtec in der Aufbau- und Verbindungstechnik gehören höchstdichte Flip Chip- und </w:t>
      </w:r>
      <w:proofErr w:type="spellStart"/>
      <w:r w:rsidRPr="005E200E">
        <w:rPr>
          <w:lang w:val="de-DE"/>
        </w:rPr>
        <w:t>Underfill</w:t>
      </w:r>
      <w:proofErr w:type="spellEnd"/>
      <w:r w:rsidRPr="005E200E">
        <w:rPr>
          <w:lang w:val="de-DE"/>
        </w:rPr>
        <w:t xml:space="preserve">-Techniken, hochgenaue Chip-Platzierung und -Montage, flaches </w:t>
      </w:r>
      <w:proofErr w:type="spellStart"/>
      <w:r w:rsidRPr="005E200E">
        <w:rPr>
          <w:lang w:val="de-DE"/>
        </w:rPr>
        <w:t>Drahtbonden</w:t>
      </w:r>
      <w:proofErr w:type="spellEnd"/>
      <w:r w:rsidRPr="005E200E">
        <w:rPr>
          <w:lang w:val="de-DE"/>
        </w:rPr>
        <w:t xml:space="preserve"> in kleinsten Rastermaßen und verschiedene Vergusstechniken wie das Verfahren Dam and </w:t>
      </w:r>
      <w:proofErr w:type="spellStart"/>
      <w:r w:rsidRPr="005E200E">
        <w:rPr>
          <w:lang w:val="de-DE"/>
        </w:rPr>
        <w:t>Encapsulation</w:t>
      </w:r>
      <w:proofErr w:type="spellEnd"/>
      <w:r w:rsidRPr="005E200E">
        <w:rPr>
          <w:lang w:val="de-DE"/>
        </w:rPr>
        <w:t xml:space="preserve"> (Fill). Tabelle 1 gibt einen Überblick über die wichtigsten Designfähigkeiten von S</w:t>
      </w:r>
      <w:r>
        <w:rPr>
          <w:lang w:val="de-DE"/>
        </w:rPr>
        <w:t>amtec in jedem Kompetenzbereich.</w:t>
      </w:r>
    </w:p>
    <w:p w:rsidR="00D30D7A" w:rsidRDefault="00D30D7A" w:rsidP="00D30D7A">
      <w:pPr>
        <w:spacing w:after="0" w:line="240" w:lineRule="auto"/>
        <w:jc w:val="both"/>
        <w:rPr>
          <w:lang w:val="de-DE"/>
        </w:rPr>
      </w:pPr>
    </w:p>
    <w:p w:rsidR="00D30D7A" w:rsidRPr="005E200E" w:rsidRDefault="00D30D7A" w:rsidP="00D30D7A">
      <w:pPr>
        <w:spacing w:after="0" w:line="240" w:lineRule="auto"/>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14"/>
        <w:gridCol w:w="2428"/>
        <w:gridCol w:w="114"/>
        <w:gridCol w:w="2123"/>
        <w:gridCol w:w="2082"/>
      </w:tblGrid>
      <w:tr w:rsidR="00D30D7A" w:rsidTr="00C25E85">
        <w:trPr>
          <w:trHeight w:val="2674"/>
        </w:trPr>
        <w:tc>
          <w:tcPr>
            <w:tcW w:w="2598" w:type="dxa"/>
            <w:shd w:val="clear" w:color="auto" w:fill="auto"/>
            <w:tcMar>
              <w:top w:w="57" w:type="dxa"/>
              <w:left w:w="57" w:type="dxa"/>
              <w:bottom w:w="57" w:type="dxa"/>
              <w:right w:w="57" w:type="dxa"/>
            </w:tcMar>
          </w:tcPr>
          <w:p w:rsidR="00D30D7A" w:rsidRPr="00F0267F" w:rsidRDefault="00D30D7A" w:rsidP="00C25E85">
            <w:pPr>
              <w:jc w:val="center"/>
              <w:rPr>
                <w:b/>
              </w:rPr>
            </w:pPr>
            <w:r w:rsidRPr="00F0267F">
              <w:rPr>
                <w:b/>
                <w:noProof/>
              </w:rPr>
              <w:drawing>
                <wp:inline distT="0" distB="0" distL="0" distR="0">
                  <wp:extent cx="1343025" cy="11525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inline>
              </w:drawing>
            </w:r>
          </w:p>
          <w:p w:rsidR="00D30D7A" w:rsidRPr="00F0267F" w:rsidRDefault="00D30D7A" w:rsidP="00C25E85">
            <w:pPr>
              <w:jc w:val="center"/>
              <w:rPr>
                <w:b/>
              </w:rPr>
            </w:pPr>
            <w:r w:rsidRPr="00F0267F">
              <w:rPr>
                <w:b/>
              </w:rPr>
              <w:t>Flip Chip und Underfill</w:t>
            </w:r>
          </w:p>
        </w:tc>
        <w:tc>
          <w:tcPr>
            <w:tcW w:w="2700" w:type="dxa"/>
            <w:gridSpan w:val="2"/>
            <w:shd w:val="clear" w:color="auto" w:fill="auto"/>
            <w:tcMar>
              <w:top w:w="57" w:type="dxa"/>
              <w:left w:w="57" w:type="dxa"/>
              <w:bottom w:w="57" w:type="dxa"/>
              <w:right w:w="57" w:type="dxa"/>
            </w:tcMar>
          </w:tcPr>
          <w:p w:rsidR="00D30D7A" w:rsidRPr="00F0267F" w:rsidRDefault="00D30D7A" w:rsidP="00C25E85">
            <w:pPr>
              <w:jc w:val="center"/>
              <w:rPr>
                <w:b/>
              </w:rPr>
            </w:pPr>
            <w:r w:rsidRPr="00F0267F">
              <w:rPr>
                <w:b/>
                <w:noProof/>
              </w:rPr>
              <w:drawing>
                <wp:inline distT="0" distB="0" distL="0" distR="0">
                  <wp:extent cx="1323975" cy="11334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a:ln>
                            <a:noFill/>
                          </a:ln>
                        </pic:spPr>
                      </pic:pic>
                    </a:graphicData>
                  </a:graphic>
                </wp:inline>
              </w:drawing>
            </w:r>
          </w:p>
          <w:p w:rsidR="00D30D7A" w:rsidRPr="00F0267F" w:rsidRDefault="00D30D7A" w:rsidP="00C25E85">
            <w:pPr>
              <w:jc w:val="center"/>
              <w:rPr>
                <w:b/>
              </w:rPr>
            </w:pPr>
            <w:r w:rsidRPr="00F0267F">
              <w:rPr>
                <w:b/>
              </w:rPr>
              <w:t>Chip-Montage</w:t>
            </w:r>
          </w:p>
        </w:tc>
        <w:tc>
          <w:tcPr>
            <w:tcW w:w="2166" w:type="dxa"/>
            <w:gridSpan w:val="2"/>
            <w:shd w:val="clear" w:color="auto" w:fill="auto"/>
            <w:tcMar>
              <w:top w:w="57" w:type="dxa"/>
              <w:left w:w="57" w:type="dxa"/>
              <w:bottom w:w="57" w:type="dxa"/>
              <w:right w:w="57" w:type="dxa"/>
            </w:tcMar>
          </w:tcPr>
          <w:p w:rsidR="00D30D7A" w:rsidRDefault="00D30D7A" w:rsidP="00C25E85">
            <w:pPr>
              <w:jc w:val="center"/>
              <w:rPr>
                <w:b/>
                <w:noProof/>
              </w:rPr>
            </w:pPr>
            <w:r w:rsidRPr="00F0267F">
              <w:rPr>
                <w:b/>
                <w:noProof/>
              </w:rPr>
              <w:drawing>
                <wp:inline distT="0" distB="0" distL="0" distR="0">
                  <wp:extent cx="1371600" cy="1162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rsidR="00D30D7A" w:rsidRPr="00F0267F" w:rsidRDefault="00D30D7A" w:rsidP="00C25E85">
            <w:pPr>
              <w:jc w:val="center"/>
              <w:rPr>
                <w:b/>
              </w:rPr>
            </w:pPr>
            <w:proofErr w:type="spellStart"/>
            <w:r w:rsidRPr="00F0267F">
              <w:rPr>
                <w:b/>
              </w:rPr>
              <w:t>Drahtbonden</w:t>
            </w:r>
            <w:proofErr w:type="spellEnd"/>
          </w:p>
        </w:tc>
        <w:tc>
          <w:tcPr>
            <w:tcW w:w="2010" w:type="dxa"/>
            <w:shd w:val="clear" w:color="auto" w:fill="auto"/>
            <w:tcMar>
              <w:top w:w="57" w:type="dxa"/>
              <w:left w:w="57" w:type="dxa"/>
              <w:bottom w:w="57" w:type="dxa"/>
              <w:right w:w="57" w:type="dxa"/>
            </w:tcMar>
          </w:tcPr>
          <w:p w:rsidR="00D30D7A" w:rsidRPr="00F0267F" w:rsidRDefault="00D30D7A" w:rsidP="00C25E85">
            <w:pPr>
              <w:jc w:val="center"/>
              <w:rPr>
                <w:b/>
              </w:rPr>
            </w:pPr>
            <w:r w:rsidRPr="00F0267F">
              <w:rPr>
                <w:b/>
                <w:noProof/>
              </w:rPr>
              <w:drawing>
                <wp:inline distT="0" distB="0" distL="0" distR="0">
                  <wp:extent cx="1266825" cy="11334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33475"/>
                          </a:xfrm>
                          <a:prstGeom prst="rect">
                            <a:avLst/>
                          </a:prstGeom>
                          <a:noFill/>
                          <a:ln>
                            <a:noFill/>
                          </a:ln>
                        </pic:spPr>
                      </pic:pic>
                    </a:graphicData>
                  </a:graphic>
                </wp:inline>
              </w:drawing>
            </w:r>
          </w:p>
          <w:p w:rsidR="00D30D7A" w:rsidRPr="00F0267F" w:rsidRDefault="00D30D7A" w:rsidP="00C25E85">
            <w:pPr>
              <w:jc w:val="center"/>
              <w:rPr>
                <w:b/>
              </w:rPr>
            </w:pPr>
            <w:r w:rsidRPr="00F0267F">
              <w:rPr>
                <w:b/>
              </w:rPr>
              <w:t>Dam and Encapsulation</w:t>
            </w:r>
          </w:p>
        </w:tc>
      </w:tr>
      <w:tr w:rsidR="00D30D7A" w:rsidTr="00C25E85">
        <w:tc>
          <w:tcPr>
            <w:tcW w:w="2605"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Genauigkeit</w:t>
            </w:r>
            <w:proofErr w:type="spellEnd"/>
            <w:r w:rsidRPr="002F75CC">
              <w:rPr>
                <w:sz w:val="20"/>
                <w:szCs w:val="20"/>
              </w:rPr>
              <w:t xml:space="preserve"> </w:t>
            </w:r>
            <w:proofErr w:type="spellStart"/>
            <w:r w:rsidRPr="002F75CC">
              <w:rPr>
                <w:sz w:val="20"/>
                <w:szCs w:val="20"/>
              </w:rPr>
              <w:t>bis</w:t>
            </w:r>
            <w:proofErr w:type="spellEnd"/>
            <w:r w:rsidRPr="002F75CC">
              <w:rPr>
                <w:sz w:val="20"/>
                <w:szCs w:val="20"/>
              </w:rPr>
              <w:t xml:space="preserve"> ±3 µm</w:t>
            </w:r>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Genauigkeit</w:t>
            </w:r>
            <w:proofErr w:type="spellEnd"/>
            <w:r w:rsidRPr="002F75CC">
              <w:rPr>
                <w:sz w:val="20"/>
                <w:szCs w:val="20"/>
              </w:rPr>
              <w:t xml:space="preserve"> </w:t>
            </w:r>
            <w:proofErr w:type="spellStart"/>
            <w:r w:rsidRPr="002F75CC">
              <w:rPr>
                <w:sz w:val="20"/>
                <w:szCs w:val="20"/>
              </w:rPr>
              <w:t>bis</w:t>
            </w:r>
            <w:proofErr w:type="spellEnd"/>
            <w:r w:rsidRPr="002F75CC">
              <w:rPr>
                <w:sz w:val="20"/>
                <w:szCs w:val="20"/>
              </w:rPr>
              <w:t xml:space="preserve"> ±3 µm</w:t>
            </w:r>
          </w:p>
        </w:tc>
        <w:tc>
          <w:tcPr>
            <w:tcW w:w="2166" w:type="dxa"/>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 xml:space="preserve">Superflaches Kugel- und </w:t>
            </w:r>
            <w:proofErr w:type="spellStart"/>
            <w:r w:rsidRPr="002F75CC">
              <w:rPr>
                <w:sz w:val="20"/>
                <w:szCs w:val="20"/>
                <w:lang w:val="de-DE"/>
              </w:rPr>
              <w:t>Keilbonden</w:t>
            </w:r>
            <w:proofErr w:type="spellEnd"/>
            <w:r w:rsidRPr="002F75CC">
              <w:rPr>
                <w:sz w:val="20"/>
                <w:szCs w:val="20"/>
                <w:lang w:val="de-DE"/>
              </w:rPr>
              <w:t xml:space="preserve"> in kleinsten Rastermaßen</w:t>
            </w:r>
          </w:p>
        </w:tc>
        <w:tc>
          <w:tcPr>
            <w:tcW w:w="2003"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Automatisiertes</w:t>
            </w:r>
            <w:proofErr w:type="spellEnd"/>
            <w:r w:rsidRPr="002F75CC">
              <w:rPr>
                <w:sz w:val="20"/>
                <w:szCs w:val="20"/>
              </w:rPr>
              <w:t xml:space="preserve"> </w:t>
            </w:r>
            <w:proofErr w:type="spellStart"/>
            <w:r w:rsidRPr="002F75CC">
              <w:rPr>
                <w:sz w:val="20"/>
                <w:szCs w:val="20"/>
              </w:rPr>
              <w:t>oder</w:t>
            </w:r>
            <w:proofErr w:type="spellEnd"/>
            <w:r w:rsidRPr="002F75CC">
              <w:rPr>
                <w:sz w:val="20"/>
                <w:szCs w:val="20"/>
              </w:rPr>
              <w:t xml:space="preserve"> </w:t>
            </w:r>
            <w:proofErr w:type="spellStart"/>
            <w:r w:rsidRPr="002F75CC">
              <w:rPr>
                <w:sz w:val="20"/>
                <w:szCs w:val="20"/>
              </w:rPr>
              <w:t>manuelles</w:t>
            </w:r>
            <w:proofErr w:type="spellEnd"/>
            <w:r w:rsidRPr="002F75CC">
              <w:rPr>
                <w:sz w:val="20"/>
                <w:szCs w:val="20"/>
              </w:rPr>
              <w:t xml:space="preserve"> </w:t>
            </w:r>
            <w:proofErr w:type="spellStart"/>
            <w:r w:rsidRPr="002F75CC">
              <w:rPr>
                <w:sz w:val="20"/>
                <w:szCs w:val="20"/>
              </w:rPr>
              <w:t>Verkapseln</w:t>
            </w:r>
            <w:proofErr w:type="spellEnd"/>
          </w:p>
        </w:tc>
      </w:tr>
      <w:tr w:rsidR="00D30D7A" w:rsidTr="00C25E85">
        <w:tc>
          <w:tcPr>
            <w:tcW w:w="2605"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Manuell</w:t>
            </w:r>
            <w:proofErr w:type="spellEnd"/>
            <w:r w:rsidRPr="002F75CC">
              <w:rPr>
                <w:sz w:val="20"/>
                <w:szCs w:val="20"/>
              </w:rPr>
              <w:t xml:space="preserve">, </w:t>
            </w:r>
            <w:proofErr w:type="spellStart"/>
            <w:r w:rsidRPr="002F75CC">
              <w:rPr>
                <w:sz w:val="20"/>
                <w:szCs w:val="20"/>
              </w:rPr>
              <w:t>halbautomatisiert</w:t>
            </w:r>
            <w:proofErr w:type="spellEnd"/>
            <w:r w:rsidRPr="002F75CC">
              <w:rPr>
                <w:sz w:val="20"/>
                <w:szCs w:val="20"/>
              </w:rPr>
              <w:t xml:space="preserve"> und </w:t>
            </w:r>
            <w:proofErr w:type="spellStart"/>
            <w:r w:rsidRPr="002F75CC">
              <w:rPr>
                <w:sz w:val="20"/>
                <w:szCs w:val="20"/>
              </w:rPr>
              <w:t>automatisiert</w:t>
            </w:r>
            <w:proofErr w:type="spellEnd"/>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Manuell</w:t>
            </w:r>
            <w:proofErr w:type="spellEnd"/>
            <w:r w:rsidRPr="002F75CC">
              <w:rPr>
                <w:sz w:val="20"/>
                <w:szCs w:val="20"/>
              </w:rPr>
              <w:t xml:space="preserve">, </w:t>
            </w:r>
            <w:proofErr w:type="spellStart"/>
            <w:r w:rsidRPr="002F75CC">
              <w:rPr>
                <w:sz w:val="20"/>
                <w:szCs w:val="20"/>
              </w:rPr>
              <w:t>halbautomatisiert</w:t>
            </w:r>
            <w:proofErr w:type="spellEnd"/>
            <w:r w:rsidRPr="002F75CC">
              <w:rPr>
                <w:sz w:val="20"/>
                <w:szCs w:val="20"/>
              </w:rPr>
              <w:t xml:space="preserve"> und </w:t>
            </w:r>
            <w:proofErr w:type="spellStart"/>
            <w:r w:rsidRPr="002F75CC">
              <w:rPr>
                <w:sz w:val="20"/>
                <w:szCs w:val="20"/>
              </w:rPr>
              <w:t>automatisiert</w:t>
            </w:r>
            <w:proofErr w:type="spellEnd"/>
          </w:p>
        </w:tc>
        <w:tc>
          <w:tcPr>
            <w:tcW w:w="2166" w:type="dxa"/>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Drahtdurchmesser von 19 µm bis 50 µm DIA</w:t>
            </w:r>
          </w:p>
        </w:tc>
        <w:tc>
          <w:tcPr>
            <w:tcW w:w="2003"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Doppelkopf-Auftragsysteme</w:t>
            </w:r>
            <w:proofErr w:type="spellEnd"/>
          </w:p>
        </w:tc>
      </w:tr>
      <w:tr w:rsidR="00D30D7A" w:rsidRPr="00F0267F" w:rsidTr="00C25E85">
        <w:tc>
          <w:tcPr>
            <w:tcW w:w="2605"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 xml:space="preserve">Keramische, laminierte, </w:t>
            </w:r>
            <w:proofErr w:type="spellStart"/>
            <w:r w:rsidRPr="002F75CC">
              <w:rPr>
                <w:sz w:val="20"/>
                <w:szCs w:val="20"/>
                <w:lang w:val="de-DE"/>
              </w:rPr>
              <w:t>HiTCE</w:t>
            </w:r>
            <w:proofErr w:type="spellEnd"/>
            <w:r w:rsidRPr="002F75CC">
              <w:rPr>
                <w:sz w:val="20"/>
                <w:szCs w:val="20"/>
                <w:lang w:val="de-DE"/>
              </w:rPr>
              <w:t>- und Si-on-Si-Substrate</w:t>
            </w:r>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Hochgenaue Hochgeschwindigkeitssysteme für das Auftragen und Platzieren</w:t>
            </w:r>
          </w:p>
        </w:tc>
        <w:tc>
          <w:tcPr>
            <w:tcW w:w="2166" w:type="dxa"/>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Gold-, Alu-, Platin- und Kupferdrähte</w:t>
            </w:r>
          </w:p>
        </w:tc>
        <w:tc>
          <w:tcPr>
            <w:tcW w:w="2003" w:type="dxa"/>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Temperatursteuerung für Fluide und Substrate</w:t>
            </w:r>
          </w:p>
        </w:tc>
      </w:tr>
      <w:tr w:rsidR="00D30D7A" w:rsidRPr="00F0267F" w:rsidTr="00C25E85">
        <w:tc>
          <w:tcPr>
            <w:tcW w:w="2605" w:type="dxa"/>
            <w:gridSpan w:val="2"/>
            <w:shd w:val="clear" w:color="auto" w:fill="auto"/>
            <w:tcMar>
              <w:top w:w="57" w:type="dxa"/>
              <w:left w:w="57" w:type="dxa"/>
              <w:bottom w:w="57" w:type="dxa"/>
              <w:right w:w="57" w:type="dxa"/>
            </w:tcMar>
          </w:tcPr>
          <w:p w:rsidR="00D30D7A" w:rsidRPr="00F0267F" w:rsidRDefault="00D30D7A" w:rsidP="00C25E85">
            <w:pPr>
              <w:jc w:val="center"/>
              <w:rPr>
                <w:b/>
              </w:rPr>
            </w:pPr>
            <w:r w:rsidRPr="00F0267F">
              <w:rPr>
                <w:b/>
                <w:noProof/>
              </w:rPr>
              <w:drawing>
                <wp:inline distT="0" distB="0" distL="0" distR="0">
                  <wp:extent cx="1343025" cy="11525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inline>
              </w:drawing>
            </w:r>
          </w:p>
          <w:p w:rsidR="00D30D7A" w:rsidRPr="00F0267F" w:rsidRDefault="00D30D7A" w:rsidP="00C25E85">
            <w:pPr>
              <w:jc w:val="center"/>
              <w:rPr>
                <w:b/>
              </w:rPr>
            </w:pPr>
            <w:r w:rsidRPr="00F0267F">
              <w:rPr>
                <w:b/>
              </w:rPr>
              <w:t>Flip Chip und Underfill</w:t>
            </w:r>
          </w:p>
        </w:tc>
        <w:tc>
          <w:tcPr>
            <w:tcW w:w="2700" w:type="dxa"/>
            <w:gridSpan w:val="2"/>
            <w:shd w:val="clear" w:color="auto" w:fill="auto"/>
            <w:tcMar>
              <w:top w:w="57" w:type="dxa"/>
              <w:left w:w="57" w:type="dxa"/>
              <w:bottom w:w="57" w:type="dxa"/>
              <w:right w:w="57" w:type="dxa"/>
            </w:tcMar>
          </w:tcPr>
          <w:p w:rsidR="00D30D7A" w:rsidRPr="00F0267F" w:rsidRDefault="00D30D7A" w:rsidP="00C25E85">
            <w:pPr>
              <w:jc w:val="center"/>
              <w:rPr>
                <w:b/>
              </w:rPr>
            </w:pPr>
            <w:r w:rsidRPr="00F0267F">
              <w:rPr>
                <w:b/>
                <w:noProof/>
              </w:rPr>
              <w:drawing>
                <wp:inline distT="0" distB="0" distL="0" distR="0">
                  <wp:extent cx="1323975" cy="11334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a:ln>
                            <a:noFill/>
                          </a:ln>
                        </pic:spPr>
                      </pic:pic>
                    </a:graphicData>
                  </a:graphic>
                </wp:inline>
              </w:drawing>
            </w:r>
          </w:p>
          <w:p w:rsidR="00D30D7A" w:rsidRPr="00F0267F" w:rsidRDefault="00D30D7A" w:rsidP="00C25E85">
            <w:pPr>
              <w:jc w:val="center"/>
              <w:rPr>
                <w:b/>
              </w:rPr>
            </w:pPr>
            <w:r w:rsidRPr="00F0267F">
              <w:rPr>
                <w:b/>
              </w:rPr>
              <w:t>Chip-Montage</w:t>
            </w:r>
          </w:p>
        </w:tc>
        <w:tc>
          <w:tcPr>
            <w:tcW w:w="2166" w:type="dxa"/>
            <w:shd w:val="clear" w:color="auto" w:fill="auto"/>
            <w:tcMar>
              <w:top w:w="57" w:type="dxa"/>
              <w:left w:w="57" w:type="dxa"/>
              <w:bottom w:w="57" w:type="dxa"/>
              <w:right w:w="57" w:type="dxa"/>
            </w:tcMar>
          </w:tcPr>
          <w:p w:rsidR="00D30D7A" w:rsidRDefault="00D30D7A" w:rsidP="00C25E85">
            <w:pPr>
              <w:jc w:val="center"/>
              <w:rPr>
                <w:b/>
                <w:noProof/>
              </w:rPr>
            </w:pPr>
            <w:r w:rsidRPr="00F0267F">
              <w:rPr>
                <w:b/>
                <w:noProof/>
              </w:rPr>
              <w:drawing>
                <wp:inline distT="0" distB="0" distL="0" distR="0">
                  <wp:extent cx="1371600" cy="1162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rsidR="00D30D7A" w:rsidRPr="00F0267F" w:rsidRDefault="00D30D7A" w:rsidP="00C25E85">
            <w:pPr>
              <w:jc w:val="center"/>
              <w:rPr>
                <w:b/>
              </w:rPr>
            </w:pPr>
            <w:proofErr w:type="spellStart"/>
            <w:r w:rsidRPr="00F0267F">
              <w:rPr>
                <w:b/>
              </w:rPr>
              <w:t>Drahtbonden</w:t>
            </w:r>
            <w:proofErr w:type="spellEnd"/>
          </w:p>
        </w:tc>
        <w:tc>
          <w:tcPr>
            <w:tcW w:w="2003" w:type="dxa"/>
            <w:shd w:val="clear" w:color="auto" w:fill="auto"/>
            <w:tcMar>
              <w:top w:w="57" w:type="dxa"/>
              <w:left w:w="57" w:type="dxa"/>
              <w:bottom w:w="57" w:type="dxa"/>
              <w:right w:w="57" w:type="dxa"/>
            </w:tcMar>
          </w:tcPr>
          <w:p w:rsidR="00D30D7A" w:rsidRPr="00F0267F" w:rsidRDefault="00D30D7A" w:rsidP="00C25E85">
            <w:pPr>
              <w:jc w:val="center"/>
              <w:rPr>
                <w:b/>
              </w:rPr>
            </w:pPr>
            <w:r w:rsidRPr="00F0267F">
              <w:rPr>
                <w:b/>
                <w:noProof/>
              </w:rPr>
              <w:drawing>
                <wp:inline distT="0" distB="0" distL="0" distR="0">
                  <wp:extent cx="1266825" cy="1133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33475"/>
                          </a:xfrm>
                          <a:prstGeom prst="rect">
                            <a:avLst/>
                          </a:prstGeom>
                          <a:noFill/>
                          <a:ln>
                            <a:noFill/>
                          </a:ln>
                        </pic:spPr>
                      </pic:pic>
                    </a:graphicData>
                  </a:graphic>
                </wp:inline>
              </w:drawing>
            </w:r>
          </w:p>
          <w:p w:rsidR="00D30D7A" w:rsidRPr="00F0267F" w:rsidRDefault="00D30D7A" w:rsidP="00C25E85">
            <w:pPr>
              <w:jc w:val="center"/>
              <w:rPr>
                <w:b/>
              </w:rPr>
            </w:pPr>
            <w:r w:rsidRPr="00F0267F">
              <w:rPr>
                <w:b/>
              </w:rPr>
              <w:t>Dam and Encapsulation</w:t>
            </w:r>
          </w:p>
        </w:tc>
      </w:tr>
      <w:tr w:rsidR="00D30D7A" w:rsidTr="00C25E85">
        <w:tc>
          <w:tcPr>
            <w:tcW w:w="2605"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lastRenderedPageBreak/>
              <w:t xml:space="preserve">Löten Flip Chip (eutektisch, hoher Bleigehalt, bleifrei </w:t>
            </w:r>
            <w:proofErr w:type="spellStart"/>
            <w:r w:rsidRPr="002F75CC">
              <w:rPr>
                <w:sz w:val="20"/>
                <w:szCs w:val="20"/>
                <w:lang w:val="de-DE"/>
              </w:rPr>
              <w:t>RoHs</w:t>
            </w:r>
            <w:proofErr w:type="spellEnd"/>
            <w:r w:rsidRPr="002F75CC">
              <w:rPr>
                <w:sz w:val="20"/>
                <w:szCs w:val="20"/>
                <w:lang w:val="de-DE"/>
              </w:rPr>
              <w:t>)</w:t>
            </w:r>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r w:rsidRPr="002F75CC">
              <w:rPr>
                <w:sz w:val="20"/>
                <w:szCs w:val="20"/>
              </w:rPr>
              <w:t>Chip-</w:t>
            </w:r>
            <w:proofErr w:type="spellStart"/>
            <w:r w:rsidRPr="002F75CC">
              <w:rPr>
                <w:sz w:val="20"/>
                <w:szCs w:val="20"/>
              </w:rPr>
              <w:t>Verkleben</w:t>
            </w:r>
            <w:proofErr w:type="spellEnd"/>
          </w:p>
        </w:tc>
        <w:tc>
          <w:tcPr>
            <w:tcW w:w="2166"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r w:rsidRPr="002F75CC">
              <w:rPr>
                <w:sz w:val="20"/>
                <w:szCs w:val="20"/>
              </w:rPr>
              <w:t xml:space="preserve">Stacked Die </w:t>
            </w:r>
            <w:proofErr w:type="spellStart"/>
            <w:r w:rsidRPr="002F75CC">
              <w:rPr>
                <w:sz w:val="20"/>
                <w:szCs w:val="20"/>
              </w:rPr>
              <w:t>Drahtbonden</w:t>
            </w:r>
            <w:proofErr w:type="spellEnd"/>
          </w:p>
        </w:tc>
        <w:tc>
          <w:tcPr>
            <w:tcW w:w="2003"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Kundenspezifische</w:t>
            </w:r>
            <w:proofErr w:type="spellEnd"/>
            <w:r w:rsidRPr="002F75CC">
              <w:rPr>
                <w:sz w:val="20"/>
                <w:szCs w:val="20"/>
              </w:rPr>
              <w:t xml:space="preserve"> </w:t>
            </w:r>
            <w:proofErr w:type="spellStart"/>
            <w:r w:rsidRPr="002F75CC">
              <w:rPr>
                <w:sz w:val="20"/>
                <w:szCs w:val="20"/>
              </w:rPr>
              <w:t>Verarbeitung</w:t>
            </w:r>
            <w:proofErr w:type="spellEnd"/>
          </w:p>
        </w:tc>
      </w:tr>
      <w:tr w:rsidR="00D30D7A" w:rsidTr="00C25E85">
        <w:tc>
          <w:tcPr>
            <w:tcW w:w="2605"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Thermokompression</w:t>
            </w:r>
            <w:proofErr w:type="spellEnd"/>
            <w:r w:rsidRPr="002F75CC">
              <w:rPr>
                <w:sz w:val="20"/>
                <w:szCs w:val="20"/>
              </w:rPr>
              <w:t xml:space="preserve"> </w:t>
            </w:r>
            <w:r w:rsidRPr="002F75CC">
              <w:rPr>
                <w:sz w:val="20"/>
                <w:szCs w:val="20"/>
              </w:rPr>
              <w:br/>
              <w:t>Flip Chip</w:t>
            </w:r>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Isotrope und anisotrope Klebstoffe, geringes Ausgasen, schwach beanspruchbare und Sonderwerkstoffe, UV-härtende Klebstoffe, Vereinzeln von Chipmontagefolien</w:t>
            </w:r>
          </w:p>
        </w:tc>
        <w:tc>
          <w:tcPr>
            <w:tcW w:w="2166"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r w:rsidRPr="002F75CC">
              <w:rPr>
                <w:sz w:val="20"/>
                <w:szCs w:val="20"/>
              </w:rPr>
              <w:t>Multichip-Module</w:t>
            </w:r>
          </w:p>
        </w:tc>
        <w:tc>
          <w:tcPr>
            <w:tcW w:w="2003"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Thermisches</w:t>
            </w:r>
            <w:proofErr w:type="spellEnd"/>
            <w:r w:rsidRPr="002F75CC">
              <w:rPr>
                <w:sz w:val="20"/>
                <w:szCs w:val="20"/>
              </w:rPr>
              <w:t xml:space="preserve"> </w:t>
            </w:r>
            <w:proofErr w:type="spellStart"/>
            <w:r w:rsidRPr="002F75CC">
              <w:rPr>
                <w:sz w:val="20"/>
                <w:szCs w:val="20"/>
              </w:rPr>
              <w:t>oder</w:t>
            </w:r>
            <w:proofErr w:type="spellEnd"/>
            <w:r w:rsidRPr="002F75CC">
              <w:rPr>
                <w:sz w:val="20"/>
                <w:szCs w:val="20"/>
              </w:rPr>
              <w:t xml:space="preserve"> UV-</w:t>
            </w:r>
            <w:proofErr w:type="spellStart"/>
            <w:r w:rsidRPr="002F75CC">
              <w:rPr>
                <w:sz w:val="20"/>
                <w:szCs w:val="20"/>
              </w:rPr>
              <w:t>Aushärten</w:t>
            </w:r>
            <w:proofErr w:type="spellEnd"/>
          </w:p>
        </w:tc>
      </w:tr>
      <w:tr w:rsidR="00D30D7A" w:rsidRPr="00F0267F" w:rsidTr="00C25E85">
        <w:tc>
          <w:tcPr>
            <w:tcW w:w="2605"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Klebemontage Flip Chip (anisotrop (Z-Achse) leitende Klebstoffe und -folien)</w:t>
            </w:r>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Kundenspezifische</w:t>
            </w:r>
            <w:proofErr w:type="spellEnd"/>
            <w:r w:rsidRPr="002F75CC">
              <w:rPr>
                <w:sz w:val="20"/>
                <w:szCs w:val="20"/>
              </w:rPr>
              <w:t xml:space="preserve"> </w:t>
            </w:r>
            <w:proofErr w:type="spellStart"/>
            <w:r w:rsidRPr="002F75CC">
              <w:rPr>
                <w:sz w:val="20"/>
                <w:szCs w:val="20"/>
              </w:rPr>
              <w:t>Verarbeitung</w:t>
            </w:r>
            <w:proofErr w:type="spellEnd"/>
          </w:p>
        </w:tc>
        <w:tc>
          <w:tcPr>
            <w:tcW w:w="2166"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Unterstützung</w:t>
            </w:r>
            <w:proofErr w:type="spellEnd"/>
            <w:r w:rsidRPr="002F75CC">
              <w:rPr>
                <w:sz w:val="20"/>
                <w:szCs w:val="20"/>
              </w:rPr>
              <w:t xml:space="preserve"> der </w:t>
            </w:r>
            <w:proofErr w:type="spellStart"/>
            <w:r w:rsidRPr="002F75CC">
              <w:rPr>
                <w:sz w:val="20"/>
                <w:szCs w:val="20"/>
              </w:rPr>
              <w:t>Signalintegrität</w:t>
            </w:r>
            <w:proofErr w:type="spellEnd"/>
          </w:p>
          <w:p w:rsidR="00D30D7A" w:rsidRPr="002F75CC" w:rsidRDefault="00D30D7A" w:rsidP="00C25E85">
            <w:pPr>
              <w:ind w:firstLine="720"/>
              <w:jc w:val="center"/>
              <w:rPr>
                <w:sz w:val="20"/>
                <w:szCs w:val="20"/>
              </w:rPr>
            </w:pPr>
          </w:p>
        </w:tc>
        <w:tc>
          <w:tcPr>
            <w:tcW w:w="2003" w:type="dxa"/>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Akustische rastermikroskopische Prüfung (CSAM) im Hause</w:t>
            </w:r>
          </w:p>
        </w:tc>
      </w:tr>
      <w:tr w:rsidR="00D30D7A" w:rsidTr="00C25E85">
        <w:tc>
          <w:tcPr>
            <w:tcW w:w="2605"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r w:rsidRPr="002F75CC">
              <w:rPr>
                <w:sz w:val="20"/>
                <w:szCs w:val="20"/>
              </w:rPr>
              <w:t xml:space="preserve">Underfill, </w:t>
            </w:r>
            <w:proofErr w:type="spellStart"/>
            <w:r w:rsidRPr="002F75CC">
              <w:rPr>
                <w:sz w:val="20"/>
                <w:szCs w:val="20"/>
              </w:rPr>
              <w:t>kapillar</w:t>
            </w:r>
            <w:proofErr w:type="spellEnd"/>
            <w:r w:rsidRPr="002F75CC">
              <w:rPr>
                <w:sz w:val="20"/>
                <w:szCs w:val="20"/>
              </w:rPr>
              <w:t xml:space="preserve"> und </w:t>
            </w:r>
            <w:proofErr w:type="spellStart"/>
            <w:r w:rsidRPr="002F75CC">
              <w:rPr>
                <w:sz w:val="20"/>
                <w:szCs w:val="20"/>
              </w:rPr>
              <w:t>eingespritzt</w:t>
            </w:r>
            <w:proofErr w:type="spellEnd"/>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Auftrag</w:t>
            </w:r>
            <w:proofErr w:type="spellEnd"/>
            <w:r w:rsidRPr="002F75CC">
              <w:rPr>
                <w:sz w:val="20"/>
                <w:szCs w:val="20"/>
              </w:rPr>
              <w:t xml:space="preserve">, Band </w:t>
            </w:r>
            <w:proofErr w:type="spellStart"/>
            <w:r w:rsidRPr="002F75CC">
              <w:rPr>
                <w:sz w:val="20"/>
                <w:szCs w:val="20"/>
              </w:rPr>
              <w:t>oder</w:t>
            </w:r>
            <w:proofErr w:type="spellEnd"/>
            <w:r w:rsidRPr="002F75CC">
              <w:rPr>
                <w:sz w:val="20"/>
                <w:szCs w:val="20"/>
              </w:rPr>
              <w:t xml:space="preserve"> Preforms</w:t>
            </w:r>
          </w:p>
        </w:tc>
        <w:tc>
          <w:tcPr>
            <w:tcW w:w="2166"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
        </w:tc>
        <w:tc>
          <w:tcPr>
            <w:tcW w:w="2003"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Laserbeschriftung</w:t>
            </w:r>
            <w:proofErr w:type="spellEnd"/>
            <w:r w:rsidRPr="002F75CC">
              <w:rPr>
                <w:sz w:val="20"/>
                <w:szCs w:val="20"/>
              </w:rPr>
              <w:t>/</w:t>
            </w:r>
            <w:r w:rsidRPr="002F75CC">
              <w:rPr>
                <w:sz w:val="20"/>
                <w:szCs w:val="20"/>
              </w:rPr>
              <w:br/>
            </w:r>
            <w:proofErr w:type="spellStart"/>
            <w:r w:rsidRPr="002F75CC">
              <w:rPr>
                <w:sz w:val="20"/>
                <w:szCs w:val="20"/>
              </w:rPr>
              <w:t>Tintenbeschriftung</w:t>
            </w:r>
            <w:proofErr w:type="spellEnd"/>
          </w:p>
        </w:tc>
      </w:tr>
      <w:tr w:rsidR="00D30D7A" w:rsidTr="00C25E85">
        <w:tc>
          <w:tcPr>
            <w:tcW w:w="2605"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r w:rsidRPr="002F75CC">
              <w:rPr>
                <w:sz w:val="20"/>
                <w:szCs w:val="20"/>
                <w:lang w:val="de-DE"/>
              </w:rPr>
              <w:t>Akustische rastermikroskopische Prüfung (CSAM) im Hause</w:t>
            </w:r>
          </w:p>
        </w:tc>
        <w:tc>
          <w:tcPr>
            <w:tcW w:w="2166" w:type="dxa"/>
            <w:shd w:val="clear" w:color="auto" w:fill="auto"/>
            <w:tcMar>
              <w:top w:w="57" w:type="dxa"/>
              <w:left w:w="57" w:type="dxa"/>
              <w:bottom w:w="57" w:type="dxa"/>
              <w:right w:w="57" w:type="dxa"/>
            </w:tcMar>
          </w:tcPr>
          <w:p w:rsidR="00D30D7A" w:rsidRPr="002F75CC" w:rsidRDefault="00D30D7A" w:rsidP="00C25E85">
            <w:pPr>
              <w:jc w:val="center"/>
              <w:rPr>
                <w:sz w:val="20"/>
                <w:szCs w:val="20"/>
                <w:lang w:val="de-DE"/>
              </w:rPr>
            </w:pPr>
          </w:p>
        </w:tc>
        <w:tc>
          <w:tcPr>
            <w:tcW w:w="2003"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Leitfähige</w:t>
            </w:r>
            <w:proofErr w:type="spellEnd"/>
            <w:r w:rsidRPr="002F75CC">
              <w:rPr>
                <w:sz w:val="20"/>
                <w:szCs w:val="20"/>
              </w:rPr>
              <w:t>/</w:t>
            </w:r>
            <w:proofErr w:type="spellStart"/>
            <w:r w:rsidRPr="002F75CC">
              <w:rPr>
                <w:sz w:val="20"/>
                <w:szCs w:val="20"/>
              </w:rPr>
              <w:t>nicht</w:t>
            </w:r>
            <w:proofErr w:type="spellEnd"/>
            <w:r w:rsidRPr="002F75CC">
              <w:rPr>
                <w:sz w:val="20"/>
                <w:szCs w:val="20"/>
              </w:rPr>
              <w:t xml:space="preserve"> </w:t>
            </w:r>
            <w:proofErr w:type="spellStart"/>
            <w:r w:rsidRPr="002F75CC">
              <w:rPr>
                <w:sz w:val="20"/>
                <w:szCs w:val="20"/>
              </w:rPr>
              <w:t>leitfähige</w:t>
            </w:r>
            <w:proofErr w:type="spellEnd"/>
            <w:r w:rsidRPr="002F75CC">
              <w:rPr>
                <w:sz w:val="20"/>
                <w:szCs w:val="20"/>
              </w:rPr>
              <w:t xml:space="preserve"> </w:t>
            </w:r>
            <w:proofErr w:type="spellStart"/>
            <w:r w:rsidRPr="002F75CC">
              <w:rPr>
                <w:sz w:val="20"/>
                <w:szCs w:val="20"/>
              </w:rPr>
              <w:t>Deckel</w:t>
            </w:r>
            <w:proofErr w:type="spellEnd"/>
          </w:p>
        </w:tc>
      </w:tr>
      <w:tr w:rsidR="00D30D7A" w:rsidTr="00C25E85">
        <w:tc>
          <w:tcPr>
            <w:tcW w:w="2605"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
        </w:tc>
        <w:tc>
          <w:tcPr>
            <w:tcW w:w="2166"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
        </w:tc>
        <w:tc>
          <w:tcPr>
            <w:tcW w:w="2003"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Automatisierte</w:t>
            </w:r>
            <w:proofErr w:type="spellEnd"/>
            <w:r w:rsidRPr="002F75CC">
              <w:rPr>
                <w:sz w:val="20"/>
                <w:szCs w:val="20"/>
              </w:rPr>
              <w:t xml:space="preserve"> und </w:t>
            </w:r>
            <w:proofErr w:type="spellStart"/>
            <w:r w:rsidRPr="002F75CC">
              <w:rPr>
                <w:sz w:val="20"/>
                <w:szCs w:val="20"/>
              </w:rPr>
              <w:t>manuelle</w:t>
            </w:r>
            <w:proofErr w:type="spellEnd"/>
            <w:r w:rsidRPr="002F75CC">
              <w:rPr>
                <w:sz w:val="20"/>
                <w:szCs w:val="20"/>
              </w:rPr>
              <w:t xml:space="preserve"> </w:t>
            </w:r>
            <w:proofErr w:type="spellStart"/>
            <w:r w:rsidRPr="002F75CC">
              <w:rPr>
                <w:sz w:val="20"/>
                <w:szCs w:val="20"/>
              </w:rPr>
              <w:t>Deckelmontage</w:t>
            </w:r>
            <w:proofErr w:type="spellEnd"/>
          </w:p>
        </w:tc>
      </w:tr>
      <w:tr w:rsidR="00D30D7A" w:rsidTr="00C25E85">
        <w:tc>
          <w:tcPr>
            <w:tcW w:w="2598"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
        </w:tc>
        <w:tc>
          <w:tcPr>
            <w:tcW w:w="2700"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
        </w:tc>
        <w:tc>
          <w:tcPr>
            <w:tcW w:w="2166" w:type="dxa"/>
            <w:gridSpan w:val="2"/>
            <w:shd w:val="clear" w:color="auto" w:fill="auto"/>
            <w:tcMar>
              <w:top w:w="57" w:type="dxa"/>
              <w:left w:w="57" w:type="dxa"/>
              <w:bottom w:w="57" w:type="dxa"/>
              <w:right w:w="57" w:type="dxa"/>
            </w:tcMar>
          </w:tcPr>
          <w:p w:rsidR="00D30D7A" w:rsidRPr="002F75CC" w:rsidRDefault="00D30D7A" w:rsidP="00C25E85">
            <w:pPr>
              <w:jc w:val="center"/>
              <w:rPr>
                <w:sz w:val="20"/>
                <w:szCs w:val="20"/>
              </w:rPr>
            </w:pPr>
          </w:p>
        </w:tc>
        <w:tc>
          <w:tcPr>
            <w:tcW w:w="2010" w:type="dxa"/>
            <w:shd w:val="clear" w:color="auto" w:fill="auto"/>
            <w:tcMar>
              <w:top w:w="57" w:type="dxa"/>
              <w:left w:w="57" w:type="dxa"/>
              <w:bottom w:w="57" w:type="dxa"/>
              <w:right w:w="57" w:type="dxa"/>
            </w:tcMar>
          </w:tcPr>
          <w:p w:rsidR="00D30D7A" w:rsidRPr="002F75CC" w:rsidRDefault="00D30D7A" w:rsidP="00C25E85">
            <w:pPr>
              <w:jc w:val="center"/>
              <w:rPr>
                <w:sz w:val="20"/>
                <w:szCs w:val="20"/>
              </w:rPr>
            </w:pPr>
            <w:proofErr w:type="spellStart"/>
            <w:r w:rsidRPr="002F75CC">
              <w:rPr>
                <w:sz w:val="20"/>
                <w:szCs w:val="20"/>
              </w:rPr>
              <w:t>Hermetische</w:t>
            </w:r>
            <w:proofErr w:type="spellEnd"/>
            <w:r w:rsidRPr="002F75CC">
              <w:rPr>
                <w:sz w:val="20"/>
                <w:szCs w:val="20"/>
              </w:rPr>
              <w:t xml:space="preserve"> </w:t>
            </w:r>
            <w:proofErr w:type="spellStart"/>
            <w:r w:rsidRPr="002F75CC">
              <w:rPr>
                <w:sz w:val="20"/>
                <w:szCs w:val="20"/>
              </w:rPr>
              <w:t>Abdichtung</w:t>
            </w:r>
            <w:proofErr w:type="spellEnd"/>
          </w:p>
        </w:tc>
      </w:tr>
    </w:tbl>
    <w:p w:rsidR="00D30D7A" w:rsidRDefault="00D30D7A" w:rsidP="00D30D7A">
      <w:pPr>
        <w:pStyle w:val="Beschriftung"/>
        <w:jc w:val="both"/>
      </w:pPr>
      <w:r>
        <w:t xml:space="preserve">Tabelle </w:t>
      </w:r>
      <w:r>
        <w:fldChar w:fldCharType="begin"/>
      </w:r>
      <w:r>
        <w:instrText xml:space="preserve"> SEQ Table \* ARABIC </w:instrText>
      </w:r>
      <w:r>
        <w:fldChar w:fldCharType="separate"/>
      </w:r>
      <w:r>
        <w:rPr>
          <w:noProof/>
        </w:rPr>
        <w:t>1</w:t>
      </w:r>
      <w:r>
        <w:rPr>
          <w:noProof/>
        </w:rPr>
        <w:fldChar w:fldCharType="end"/>
      </w:r>
      <w:r>
        <w:t xml:space="preserve"> - Kernkompetenzen von Samtec </w:t>
      </w:r>
      <w:proofErr w:type="spellStart"/>
      <w:r>
        <w:t>Microelectronics</w:t>
      </w:r>
      <w:proofErr w:type="spellEnd"/>
      <w:r>
        <w:t xml:space="preserve"> in der Aufbau-, Verbindungs- und Bestückungstechnik</w:t>
      </w: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Default="00D30D7A" w:rsidP="00D30D7A">
      <w:pPr>
        <w:spacing w:after="0" w:line="240" w:lineRule="auto"/>
        <w:rPr>
          <w:b/>
          <w:color w:val="222222"/>
          <w:sz w:val="32"/>
          <w:szCs w:val="32"/>
          <w:lang w:val="de-DE"/>
        </w:rPr>
      </w:pPr>
    </w:p>
    <w:p w:rsidR="00D30D7A" w:rsidRPr="00F26DBB" w:rsidRDefault="00D30D7A" w:rsidP="00D30D7A">
      <w:pPr>
        <w:spacing w:after="0" w:line="240" w:lineRule="auto"/>
        <w:rPr>
          <w:sz w:val="32"/>
          <w:szCs w:val="32"/>
          <w:lang w:val="de-DE"/>
        </w:rPr>
      </w:pPr>
      <w:proofErr w:type="spellStart"/>
      <w:r w:rsidRPr="00F26DBB">
        <w:rPr>
          <w:b/>
          <w:color w:val="222222"/>
          <w:sz w:val="32"/>
          <w:szCs w:val="32"/>
          <w:lang w:val="de-DE"/>
        </w:rPr>
        <w:lastRenderedPageBreak/>
        <w:t>IoT</w:t>
      </w:r>
      <w:proofErr w:type="spellEnd"/>
      <w:r w:rsidRPr="00F26DBB">
        <w:rPr>
          <w:b/>
          <w:color w:val="222222"/>
          <w:sz w:val="32"/>
          <w:szCs w:val="32"/>
          <w:lang w:val="de-DE"/>
        </w:rPr>
        <w:t>-Anwendungen der nächsten Generation müssen schrumpfen</w:t>
      </w:r>
    </w:p>
    <w:p w:rsidR="00D30D7A" w:rsidRDefault="00D30D7A" w:rsidP="00D30D7A">
      <w:pPr>
        <w:spacing w:after="0" w:line="240" w:lineRule="auto"/>
        <w:jc w:val="both"/>
        <w:rPr>
          <w:lang w:val="de-DE"/>
        </w:rPr>
      </w:pPr>
    </w:p>
    <w:p w:rsidR="00D30D7A" w:rsidRPr="005E200E" w:rsidRDefault="00D30D7A" w:rsidP="00D30D7A">
      <w:pPr>
        <w:spacing w:after="0" w:line="240" w:lineRule="auto"/>
        <w:jc w:val="both"/>
        <w:rPr>
          <w:lang w:val="de-DE"/>
        </w:rPr>
      </w:pPr>
      <w:r w:rsidRPr="005E200E">
        <w:rPr>
          <w:lang w:val="de-DE"/>
        </w:rPr>
        <w:t>Über die grundlegenden Prozesse in der Aufbau- und Verbindungstechnik hinaus bietet Samtec einen unvergleichbaren Designsupport für hoch entwickelte aufbau- und verbindungstechnische Anwendungen.   Einige dieser Designservices umfassen:</w:t>
      </w:r>
    </w:p>
    <w:p w:rsidR="00D30D7A" w:rsidRPr="005E200E" w:rsidRDefault="00D30D7A" w:rsidP="00D30D7A">
      <w:pPr>
        <w:spacing w:after="0" w:line="240" w:lineRule="auto"/>
        <w:jc w:val="both"/>
        <w:rPr>
          <w:lang w:val="de-DE"/>
        </w:rPr>
      </w:pPr>
    </w:p>
    <w:p w:rsidR="00D30D7A" w:rsidRPr="005E200E" w:rsidRDefault="00D30D7A" w:rsidP="00D30D7A">
      <w:pPr>
        <w:spacing w:after="0" w:line="240" w:lineRule="auto"/>
        <w:jc w:val="both"/>
        <w:rPr>
          <w:lang w:val="de-DE"/>
        </w:rPr>
      </w:pPr>
    </w:p>
    <w:p w:rsidR="00D30D7A" w:rsidRDefault="00D30D7A" w:rsidP="00D30D7A">
      <w:pPr>
        <w:pStyle w:val="Listenabsatz"/>
        <w:numPr>
          <w:ilvl w:val="0"/>
          <w:numId w:val="3"/>
        </w:numPr>
        <w:spacing w:after="0" w:line="240" w:lineRule="auto"/>
        <w:jc w:val="both"/>
      </w:pPr>
      <w:r>
        <w:t xml:space="preserve">Design und Analyse </w:t>
      </w:r>
      <w:proofErr w:type="gramStart"/>
      <w:r>
        <w:t>des Package</w:t>
      </w:r>
      <w:proofErr w:type="gramEnd"/>
      <w:r>
        <w:t xml:space="preserve">: </w:t>
      </w:r>
    </w:p>
    <w:p w:rsidR="00D30D7A" w:rsidRDefault="00D30D7A" w:rsidP="00D30D7A">
      <w:pPr>
        <w:pStyle w:val="Listenabsatz"/>
        <w:numPr>
          <w:ilvl w:val="1"/>
          <w:numId w:val="3"/>
        </w:numPr>
        <w:spacing w:after="0" w:line="240" w:lineRule="auto"/>
        <w:jc w:val="both"/>
      </w:pPr>
      <w:r>
        <w:t>Simulation kritischer Kanäle für die Bewertung von Implementierungs- und Signalübertragungsanforderungen</w:t>
      </w:r>
    </w:p>
    <w:p w:rsidR="00D30D7A" w:rsidRDefault="00D30D7A" w:rsidP="00D30D7A">
      <w:pPr>
        <w:pStyle w:val="Listenabsatz"/>
        <w:numPr>
          <w:ilvl w:val="0"/>
          <w:numId w:val="3"/>
        </w:numPr>
        <w:spacing w:after="0" w:line="240" w:lineRule="auto"/>
        <w:jc w:val="both"/>
      </w:pPr>
      <w:r>
        <w:t xml:space="preserve">Integrität der Stromversorgung </w:t>
      </w:r>
    </w:p>
    <w:p w:rsidR="00D30D7A" w:rsidRDefault="00D30D7A" w:rsidP="00D30D7A">
      <w:pPr>
        <w:pStyle w:val="Listenabsatz"/>
        <w:numPr>
          <w:ilvl w:val="1"/>
          <w:numId w:val="3"/>
        </w:numPr>
        <w:spacing w:after="0" w:line="240" w:lineRule="auto"/>
        <w:jc w:val="both"/>
      </w:pPr>
      <w:r>
        <w:t>Analyse des AC/DC-Stromübertragungsverhaltens; Empfehlungen für Via-Platzierung, Kupferdicke und Bypass-Kondensatoren</w:t>
      </w:r>
    </w:p>
    <w:p w:rsidR="00D30D7A" w:rsidRDefault="00D30D7A" w:rsidP="00D30D7A">
      <w:pPr>
        <w:pStyle w:val="Listenabsatz"/>
        <w:numPr>
          <w:ilvl w:val="0"/>
          <w:numId w:val="3"/>
        </w:numPr>
        <w:spacing w:after="0" w:line="240" w:lineRule="auto"/>
        <w:jc w:val="both"/>
      </w:pPr>
      <w:r>
        <w:t>Übergangsstrukturen zur Leiterplatte:</w:t>
      </w:r>
    </w:p>
    <w:p w:rsidR="00D30D7A" w:rsidRDefault="00D30D7A" w:rsidP="00D30D7A">
      <w:pPr>
        <w:pStyle w:val="Listenabsatz"/>
        <w:numPr>
          <w:ilvl w:val="1"/>
          <w:numId w:val="3"/>
        </w:numPr>
        <w:spacing w:after="0" w:line="240" w:lineRule="auto"/>
        <w:jc w:val="both"/>
      </w:pPr>
      <w:r>
        <w:t>Designs, die so ausgelegt sind, dass Beeinträchtigungen der Signalgüte durch Übergänge vom Package zur Leiterplatte auf ein Minimum reduziert werden</w:t>
      </w:r>
    </w:p>
    <w:p w:rsidR="00D30D7A" w:rsidRDefault="00D30D7A" w:rsidP="00D30D7A">
      <w:pPr>
        <w:pStyle w:val="Listenabsatz"/>
        <w:numPr>
          <w:ilvl w:val="0"/>
          <w:numId w:val="3"/>
        </w:numPr>
        <w:spacing w:after="0" w:line="240" w:lineRule="auto"/>
        <w:jc w:val="both"/>
      </w:pPr>
      <w:r>
        <w:t xml:space="preserve">Komplexe Auslegung von </w:t>
      </w:r>
      <w:proofErr w:type="spellStart"/>
      <w:r>
        <w:t>Packaging</w:t>
      </w:r>
      <w:proofErr w:type="spellEnd"/>
      <w:r>
        <w:t xml:space="preserve"> und Substrat: </w:t>
      </w:r>
    </w:p>
    <w:p w:rsidR="00D30D7A" w:rsidRDefault="00D30D7A" w:rsidP="00D30D7A">
      <w:pPr>
        <w:pStyle w:val="Listenabsatz"/>
        <w:numPr>
          <w:ilvl w:val="1"/>
          <w:numId w:val="3"/>
        </w:numPr>
        <w:spacing w:after="0" w:line="240" w:lineRule="auto"/>
        <w:jc w:val="both"/>
      </w:pPr>
      <w:r>
        <w:t xml:space="preserve">Kundenspezifische 2D, 3D, gestapelte Chips, MCMs, MEMS, </w:t>
      </w:r>
      <w:proofErr w:type="spellStart"/>
      <w:r>
        <w:t>mikrofluidische</w:t>
      </w:r>
      <w:proofErr w:type="spellEnd"/>
      <w:r>
        <w:t xml:space="preserve"> MEMS</w:t>
      </w:r>
    </w:p>
    <w:p w:rsidR="00D30D7A" w:rsidRDefault="00D30D7A" w:rsidP="00D30D7A">
      <w:pPr>
        <w:pStyle w:val="Listenabsatz"/>
        <w:numPr>
          <w:ilvl w:val="0"/>
          <w:numId w:val="3"/>
        </w:numPr>
        <w:spacing w:after="0" w:line="240" w:lineRule="auto"/>
        <w:jc w:val="both"/>
      </w:pPr>
      <w:r>
        <w:t xml:space="preserve">Eigene Expertise in Sachen Optik: </w:t>
      </w:r>
    </w:p>
    <w:p w:rsidR="00D30D7A" w:rsidRDefault="00D30D7A" w:rsidP="00D30D7A">
      <w:pPr>
        <w:pStyle w:val="Listenabsatz"/>
        <w:numPr>
          <w:ilvl w:val="1"/>
          <w:numId w:val="3"/>
        </w:numPr>
        <w:spacing w:after="0" w:line="240" w:lineRule="auto"/>
        <w:jc w:val="both"/>
      </w:pPr>
      <w:r>
        <w:t>Unterstützung für Anwendungen, bei denen ICs mit leistungsfähigen optischen Baugruppen integriert werden</w:t>
      </w:r>
    </w:p>
    <w:p w:rsidR="00D30D7A" w:rsidRPr="005E200E" w:rsidRDefault="00D30D7A" w:rsidP="00D30D7A">
      <w:pPr>
        <w:spacing w:after="0" w:line="240" w:lineRule="auto"/>
        <w:jc w:val="both"/>
        <w:rPr>
          <w:lang w:val="de-DE"/>
        </w:rPr>
      </w:pPr>
    </w:p>
    <w:p w:rsidR="00D30D7A" w:rsidRPr="005E200E" w:rsidRDefault="00D30D7A" w:rsidP="00D30D7A">
      <w:pPr>
        <w:spacing w:after="0" w:line="240" w:lineRule="auto"/>
        <w:jc w:val="both"/>
        <w:rPr>
          <w:lang w:val="de-DE"/>
        </w:rPr>
      </w:pPr>
      <w:r w:rsidRPr="005E200E">
        <w:rPr>
          <w:lang w:val="de-DE"/>
        </w:rPr>
        <w:t xml:space="preserve">Über die eigene Abteilung </w:t>
      </w:r>
      <w:proofErr w:type="spellStart"/>
      <w:r w:rsidRPr="005E200E">
        <w:rPr>
          <w:lang w:val="de-DE"/>
        </w:rPr>
        <w:t>Teraspeed</w:t>
      </w:r>
      <w:proofErr w:type="spellEnd"/>
      <w:r w:rsidRPr="005E200E">
        <w:rPr>
          <w:lang w:val="de-DE"/>
        </w:rPr>
        <w:t xml:space="preserve">® Consulting bietet Samtec auch Entwicklungspartnerschaften und umfassenden Programmsupport für den gesamten Produktlebenszyklus von der Konzeption über die Designphase bis hin zu kleinen Prototyp-Losgrößen und schließlich zur Serienproduktion an. Diese Zusammenarbeit bietet einen so noch nicht dagewesenen Support für hochmodernes mikroelektronisches </w:t>
      </w:r>
      <w:proofErr w:type="spellStart"/>
      <w:r w:rsidRPr="005E200E">
        <w:rPr>
          <w:lang w:val="de-DE"/>
        </w:rPr>
        <w:t>AvT</w:t>
      </w:r>
      <w:proofErr w:type="spellEnd"/>
      <w:r w:rsidRPr="005E200E">
        <w:rPr>
          <w:lang w:val="de-DE"/>
        </w:rPr>
        <w:t xml:space="preserve">-Design und Simulations- und Analyseexpertise, und ermöglicht so die Optimierung der IC-Applikation. </w:t>
      </w:r>
    </w:p>
    <w:p w:rsidR="00D30D7A" w:rsidRPr="005E200E" w:rsidRDefault="00D30D7A" w:rsidP="00D30D7A">
      <w:pPr>
        <w:spacing w:after="0" w:line="240" w:lineRule="auto"/>
        <w:jc w:val="both"/>
        <w:rPr>
          <w:b/>
          <w:lang w:val="de-DE"/>
        </w:rPr>
      </w:pPr>
    </w:p>
    <w:p w:rsidR="00D30D7A" w:rsidRPr="005E200E" w:rsidRDefault="00D30D7A" w:rsidP="00D30D7A">
      <w:pPr>
        <w:jc w:val="both"/>
        <w:rPr>
          <w:b/>
          <w:lang w:val="de-DE"/>
        </w:rPr>
      </w:pPr>
      <w:r w:rsidRPr="005E200E">
        <w:rPr>
          <w:b/>
          <w:lang w:val="de-DE"/>
        </w:rPr>
        <w:t>Glass Core Technology™</w:t>
      </w:r>
    </w:p>
    <w:p w:rsidR="00D30D7A" w:rsidRPr="005E200E" w:rsidRDefault="00D30D7A" w:rsidP="00D30D7A">
      <w:pPr>
        <w:spacing w:after="0" w:line="240" w:lineRule="auto"/>
        <w:contextualSpacing/>
        <w:mirrorIndents/>
        <w:jc w:val="both"/>
        <w:rPr>
          <w:lang w:val="de-DE"/>
        </w:rPr>
      </w:pPr>
      <w:r w:rsidRPr="005E200E">
        <w:rPr>
          <w:lang w:val="de-DE"/>
        </w:rPr>
        <w:t xml:space="preserve">Hoch entwickelte und für spezielle Anwendungen maßgeschneiderte AVT-Techniken bleiben eine Option für OEMs, die Neuerungen mit dem Ziel optimierter Eigenschaften einführen wollen.  Zahlreiche kommende Industrie-4.0- und </w:t>
      </w:r>
      <w:proofErr w:type="spellStart"/>
      <w:r w:rsidRPr="005E200E">
        <w:rPr>
          <w:lang w:val="de-DE"/>
        </w:rPr>
        <w:t>IoT</w:t>
      </w:r>
      <w:proofErr w:type="spellEnd"/>
      <w:r w:rsidRPr="005E200E">
        <w:rPr>
          <w:lang w:val="de-DE"/>
        </w:rPr>
        <w:t>-Anwendungen warten mit reduzierten Abmessungen in ihren Spezifikationen auf.  Die Auswahl des Materials bzw. Werkstoffs auf IC- und Substratebene kann sich auf die Leistungsfähigkeit und die Größe dieser Lösungen auswirken.</w:t>
      </w:r>
    </w:p>
    <w:p w:rsidR="00D30D7A" w:rsidRPr="005E200E" w:rsidRDefault="00D30D7A" w:rsidP="00D30D7A">
      <w:pPr>
        <w:spacing w:after="0" w:line="240" w:lineRule="auto"/>
        <w:contextualSpacing/>
        <w:mirrorIndents/>
        <w:jc w:val="both"/>
        <w:rPr>
          <w:color w:val="000000"/>
          <w:lang w:val="de-DE"/>
        </w:rPr>
      </w:pPr>
      <w:r w:rsidRPr="005E200E">
        <w:rPr>
          <w:lang w:val="de-DE"/>
        </w:rPr>
        <w:t xml:space="preserve">Glassubstrate werden in diesen Bereichen schnell zur idealen Lösung.  Glas bietet im Vergleich zu herkömmlichen </w:t>
      </w:r>
      <w:r w:rsidRPr="005E200E">
        <w:rPr>
          <w:color w:val="000000"/>
          <w:lang w:val="de-DE"/>
        </w:rPr>
        <w:t xml:space="preserve">organischen und Silizium-Substraten viele Vorteile.  </w:t>
      </w:r>
      <w:r w:rsidRPr="005E200E">
        <w:rPr>
          <w:lang w:val="de-DE"/>
        </w:rPr>
        <w:t xml:space="preserve">Es </w:t>
      </w:r>
      <w:r w:rsidRPr="005E200E">
        <w:rPr>
          <w:color w:val="000000"/>
          <w:lang w:val="de-DE"/>
        </w:rPr>
        <w:t xml:space="preserve">ist eine hervorragende, verlustarme und preisgünstigere Lösung.  Es bietet eine solide Processing-Infrastruktur für AVT-Anwendungen. </w:t>
      </w:r>
    </w:p>
    <w:p w:rsidR="00D30D7A" w:rsidRPr="005E200E" w:rsidRDefault="00D30D7A" w:rsidP="00D30D7A">
      <w:pPr>
        <w:spacing w:after="0" w:line="240" w:lineRule="auto"/>
        <w:contextualSpacing/>
        <w:mirrorIndents/>
        <w:jc w:val="both"/>
        <w:rPr>
          <w:color w:val="000000"/>
          <w:lang w:val="de-DE"/>
        </w:rPr>
      </w:pPr>
    </w:p>
    <w:p w:rsidR="00D30D7A" w:rsidRDefault="00D30D7A" w:rsidP="00D30D7A">
      <w:pPr>
        <w:spacing w:after="0" w:line="240" w:lineRule="auto"/>
        <w:contextualSpacing/>
        <w:mirrorIndents/>
        <w:jc w:val="both"/>
        <w:rPr>
          <w:color w:val="000000"/>
          <w:lang w:val="de-DE"/>
        </w:rPr>
      </w:pPr>
    </w:p>
    <w:p w:rsidR="00D30D7A" w:rsidRDefault="00D30D7A" w:rsidP="00D30D7A">
      <w:pPr>
        <w:spacing w:after="0" w:line="240" w:lineRule="auto"/>
        <w:contextualSpacing/>
        <w:mirrorIndents/>
        <w:jc w:val="both"/>
        <w:rPr>
          <w:color w:val="000000"/>
          <w:lang w:val="de-DE"/>
        </w:rPr>
      </w:pPr>
    </w:p>
    <w:p w:rsidR="00D30D7A" w:rsidRDefault="00D30D7A" w:rsidP="00D30D7A">
      <w:pPr>
        <w:spacing w:after="0" w:line="240" w:lineRule="auto"/>
        <w:contextualSpacing/>
        <w:mirrorIndents/>
        <w:jc w:val="both"/>
        <w:rPr>
          <w:color w:val="000000"/>
          <w:lang w:val="de-DE"/>
        </w:rPr>
      </w:pPr>
    </w:p>
    <w:p w:rsidR="00D30D7A" w:rsidRDefault="00D30D7A" w:rsidP="00D30D7A">
      <w:pPr>
        <w:spacing w:after="0" w:line="240" w:lineRule="auto"/>
        <w:contextualSpacing/>
        <w:mirrorIndents/>
        <w:jc w:val="both"/>
        <w:rPr>
          <w:color w:val="000000"/>
          <w:lang w:val="de-DE"/>
        </w:rPr>
      </w:pPr>
    </w:p>
    <w:p w:rsidR="00D30D7A" w:rsidRDefault="00D30D7A" w:rsidP="00D30D7A">
      <w:pPr>
        <w:spacing w:after="0" w:line="240" w:lineRule="auto"/>
        <w:contextualSpacing/>
        <w:mirrorIndents/>
        <w:jc w:val="both"/>
        <w:rPr>
          <w:b/>
          <w:color w:val="222222"/>
          <w:sz w:val="32"/>
          <w:szCs w:val="32"/>
          <w:lang w:val="de-DE"/>
        </w:rPr>
      </w:pPr>
    </w:p>
    <w:p w:rsidR="00D30D7A" w:rsidRDefault="00D30D7A" w:rsidP="00D30D7A">
      <w:pPr>
        <w:spacing w:after="0" w:line="240" w:lineRule="auto"/>
        <w:contextualSpacing/>
        <w:mirrorIndents/>
        <w:jc w:val="both"/>
        <w:rPr>
          <w:b/>
          <w:color w:val="222222"/>
          <w:sz w:val="32"/>
          <w:szCs w:val="32"/>
          <w:lang w:val="de-DE"/>
        </w:rPr>
      </w:pPr>
    </w:p>
    <w:p w:rsidR="00D30D7A" w:rsidRDefault="00D30D7A" w:rsidP="00D30D7A">
      <w:pPr>
        <w:spacing w:after="0" w:line="240" w:lineRule="auto"/>
        <w:contextualSpacing/>
        <w:mirrorIndents/>
        <w:jc w:val="both"/>
        <w:rPr>
          <w:b/>
          <w:color w:val="222222"/>
          <w:sz w:val="32"/>
          <w:szCs w:val="32"/>
          <w:lang w:val="de-DE"/>
        </w:rPr>
      </w:pPr>
    </w:p>
    <w:p w:rsidR="00D30D7A" w:rsidRDefault="00D30D7A" w:rsidP="00D30D7A">
      <w:pPr>
        <w:spacing w:after="0" w:line="240" w:lineRule="auto"/>
        <w:contextualSpacing/>
        <w:mirrorIndents/>
        <w:jc w:val="both"/>
        <w:rPr>
          <w:b/>
          <w:color w:val="222222"/>
          <w:sz w:val="32"/>
          <w:szCs w:val="32"/>
          <w:lang w:val="de-DE"/>
        </w:rPr>
      </w:pPr>
    </w:p>
    <w:p w:rsidR="00D30D7A" w:rsidRDefault="00D30D7A" w:rsidP="00D30D7A">
      <w:pPr>
        <w:spacing w:after="0" w:line="240" w:lineRule="auto"/>
        <w:contextualSpacing/>
        <w:mirrorIndents/>
        <w:jc w:val="both"/>
        <w:rPr>
          <w:b/>
          <w:color w:val="222222"/>
          <w:sz w:val="32"/>
          <w:szCs w:val="32"/>
          <w:lang w:val="de-DE"/>
        </w:rPr>
      </w:pPr>
    </w:p>
    <w:p w:rsidR="00D30D7A" w:rsidRPr="00F26DBB" w:rsidRDefault="00D30D7A" w:rsidP="00D30D7A">
      <w:pPr>
        <w:spacing w:after="0" w:line="240" w:lineRule="auto"/>
        <w:contextualSpacing/>
        <w:mirrorIndents/>
        <w:jc w:val="both"/>
        <w:rPr>
          <w:color w:val="000000"/>
          <w:sz w:val="32"/>
          <w:szCs w:val="32"/>
          <w:lang w:val="de-DE"/>
        </w:rPr>
      </w:pPr>
      <w:proofErr w:type="spellStart"/>
      <w:r w:rsidRPr="00F26DBB">
        <w:rPr>
          <w:b/>
          <w:color w:val="222222"/>
          <w:sz w:val="32"/>
          <w:szCs w:val="32"/>
          <w:lang w:val="de-DE"/>
        </w:rPr>
        <w:lastRenderedPageBreak/>
        <w:t>IoT</w:t>
      </w:r>
      <w:proofErr w:type="spellEnd"/>
      <w:r w:rsidRPr="00F26DBB">
        <w:rPr>
          <w:b/>
          <w:color w:val="222222"/>
          <w:sz w:val="32"/>
          <w:szCs w:val="32"/>
          <w:lang w:val="de-DE"/>
        </w:rPr>
        <w:t>-Anwendungen der nächsten Generation müssen schrumpfen</w:t>
      </w:r>
    </w:p>
    <w:p w:rsidR="00D30D7A" w:rsidRDefault="00D30D7A" w:rsidP="00D30D7A">
      <w:pPr>
        <w:spacing w:after="0" w:line="240" w:lineRule="auto"/>
        <w:contextualSpacing/>
        <w:mirrorIndents/>
        <w:jc w:val="both"/>
        <w:rPr>
          <w:color w:val="000000"/>
          <w:lang w:val="de-DE"/>
        </w:rPr>
      </w:pPr>
    </w:p>
    <w:p w:rsidR="00D30D7A" w:rsidRPr="005E200E" w:rsidRDefault="00D30D7A" w:rsidP="00D30D7A">
      <w:pPr>
        <w:spacing w:after="0" w:line="240" w:lineRule="auto"/>
        <w:contextualSpacing/>
        <w:mirrorIndents/>
        <w:jc w:val="both"/>
        <w:rPr>
          <w:color w:val="000000"/>
          <w:lang w:val="de-DE"/>
        </w:rPr>
      </w:pPr>
      <w:r w:rsidRPr="005E200E">
        <w:rPr>
          <w:color w:val="000000"/>
          <w:lang w:val="de-DE"/>
        </w:rPr>
        <w:t>Zu den weiteren Vorteilen von Glas gehören:</w:t>
      </w:r>
    </w:p>
    <w:p w:rsidR="00D30D7A" w:rsidRPr="005E200E" w:rsidRDefault="00D30D7A" w:rsidP="00D30D7A">
      <w:pPr>
        <w:spacing w:after="0" w:line="240" w:lineRule="auto"/>
        <w:contextualSpacing/>
        <w:mirrorIndents/>
        <w:jc w:val="both"/>
        <w:rPr>
          <w:color w:val="000000"/>
          <w:lang w:val="de-DE"/>
        </w:rPr>
      </w:pPr>
    </w:p>
    <w:p w:rsidR="00D30D7A" w:rsidRPr="002A1CEA" w:rsidRDefault="00D30D7A" w:rsidP="00D30D7A">
      <w:pPr>
        <w:pStyle w:val="Listenabsatz"/>
        <w:numPr>
          <w:ilvl w:val="0"/>
          <w:numId w:val="2"/>
        </w:numPr>
        <w:spacing w:after="0" w:line="240" w:lineRule="auto"/>
        <w:mirrorIndents/>
        <w:jc w:val="both"/>
        <w:rPr>
          <w:color w:val="000000"/>
        </w:rPr>
      </w:pPr>
      <w:r>
        <w:rPr>
          <w:color w:val="000000"/>
        </w:rPr>
        <w:t>TK auf den von Glas abgestimmt</w:t>
      </w:r>
    </w:p>
    <w:p w:rsidR="00D30D7A" w:rsidRPr="002A1CEA" w:rsidRDefault="00D30D7A" w:rsidP="00D30D7A">
      <w:pPr>
        <w:pStyle w:val="Listenabsatz"/>
        <w:numPr>
          <w:ilvl w:val="0"/>
          <w:numId w:val="2"/>
        </w:numPr>
        <w:spacing w:after="0" w:line="240" w:lineRule="auto"/>
        <w:mirrorIndents/>
        <w:jc w:val="both"/>
        <w:rPr>
          <w:color w:val="000000"/>
        </w:rPr>
      </w:pPr>
      <w:r>
        <w:rPr>
          <w:color w:val="000000"/>
        </w:rPr>
        <w:t>Mehr Zuverlässigkeit bei Dies mit hoher I/O-Zahl und geringen Abständen</w:t>
      </w:r>
    </w:p>
    <w:p w:rsidR="00D30D7A" w:rsidRPr="002A1CEA" w:rsidRDefault="00D30D7A" w:rsidP="00D30D7A">
      <w:pPr>
        <w:pStyle w:val="Listenabsatz"/>
        <w:numPr>
          <w:ilvl w:val="0"/>
          <w:numId w:val="2"/>
        </w:numPr>
        <w:spacing w:after="0" w:line="240" w:lineRule="auto"/>
        <w:mirrorIndents/>
        <w:jc w:val="both"/>
        <w:rPr>
          <w:color w:val="000000"/>
        </w:rPr>
      </w:pPr>
      <w:r>
        <w:rPr>
          <w:color w:val="000000"/>
        </w:rPr>
        <w:t>Geringe Verwindungsneigung</w:t>
      </w:r>
    </w:p>
    <w:p w:rsidR="00D30D7A" w:rsidRPr="002A1CEA" w:rsidRDefault="00D30D7A" w:rsidP="00D30D7A">
      <w:pPr>
        <w:pStyle w:val="Listenabsatz"/>
        <w:numPr>
          <w:ilvl w:val="0"/>
          <w:numId w:val="2"/>
        </w:numPr>
        <w:spacing w:after="0" w:line="240" w:lineRule="auto"/>
        <w:mirrorIndents/>
        <w:jc w:val="both"/>
        <w:rPr>
          <w:color w:val="000000"/>
        </w:rPr>
      </w:pPr>
      <w:r>
        <w:rPr>
          <w:color w:val="000000"/>
        </w:rPr>
        <w:t xml:space="preserve">Hermetische </w:t>
      </w:r>
      <w:proofErr w:type="spellStart"/>
      <w:r>
        <w:rPr>
          <w:color w:val="000000"/>
        </w:rPr>
        <w:t>Vias</w:t>
      </w:r>
      <w:proofErr w:type="spellEnd"/>
      <w:r>
        <w:rPr>
          <w:color w:val="000000"/>
        </w:rPr>
        <w:t xml:space="preserve"> auf Kupferbasis</w:t>
      </w:r>
    </w:p>
    <w:p w:rsidR="00D30D7A" w:rsidRPr="002A1CEA" w:rsidRDefault="00D30D7A" w:rsidP="00D30D7A">
      <w:pPr>
        <w:pStyle w:val="Listenabsatz"/>
        <w:numPr>
          <w:ilvl w:val="0"/>
          <w:numId w:val="2"/>
        </w:numPr>
        <w:spacing w:after="0" w:line="240" w:lineRule="auto"/>
        <w:mirrorIndents/>
        <w:jc w:val="both"/>
        <w:rPr>
          <w:color w:val="000000"/>
        </w:rPr>
      </w:pPr>
      <w:r>
        <w:rPr>
          <w:color w:val="000000"/>
        </w:rPr>
        <w:t xml:space="preserve">Weniger </w:t>
      </w:r>
      <w:proofErr w:type="spellStart"/>
      <w:r>
        <w:rPr>
          <w:color w:val="000000"/>
        </w:rPr>
        <w:t>Waferbruch</w:t>
      </w:r>
      <w:proofErr w:type="spellEnd"/>
    </w:p>
    <w:p w:rsidR="00D30D7A" w:rsidRPr="002A1CEA" w:rsidRDefault="00D30D7A" w:rsidP="00D30D7A">
      <w:pPr>
        <w:pStyle w:val="Listenabsatz"/>
        <w:numPr>
          <w:ilvl w:val="0"/>
          <w:numId w:val="2"/>
        </w:numPr>
        <w:spacing w:after="0" w:line="240" w:lineRule="auto"/>
        <w:mirrorIndents/>
        <w:jc w:val="both"/>
        <w:rPr>
          <w:color w:val="000000"/>
        </w:rPr>
      </w:pPr>
      <w:r>
        <w:rPr>
          <w:color w:val="000000"/>
        </w:rPr>
        <w:t>Temperaturwechselbeständigkeit</w:t>
      </w:r>
    </w:p>
    <w:p w:rsidR="00D30D7A" w:rsidRPr="00B55A42" w:rsidRDefault="00D30D7A" w:rsidP="00D30D7A">
      <w:pPr>
        <w:pStyle w:val="Listenabsatz"/>
        <w:numPr>
          <w:ilvl w:val="0"/>
          <w:numId w:val="2"/>
        </w:numPr>
        <w:spacing w:after="0" w:line="240" w:lineRule="auto"/>
        <w:mirrorIndents/>
        <w:jc w:val="both"/>
      </w:pPr>
      <w:r>
        <w:rPr>
          <w:color w:val="000000"/>
        </w:rPr>
        <w:t xml:space="preserve">Wärmeleitfähigere </w:t>
      </w:r>
      <w:proofErr w:type="spellStart"/>
      <w:r>
        <w:rPr>
          <w:color w:val="000000"/>
        </w:rPr>
        <w:t>Vias</w:t>
      </w:r>
      <w:proofErr w:type="spellEnd"/>
      <w:r>
        <w:rPr>
          <w:color w:val="000000"/>
        </w:rPr>
        <w:t xml:space="preserve"> für Logik-, Stromversorgungs- und andere Anwendungen </w:t>
      </w:r>
    </w:p>
    <w:p w:rsidR="00D30D7A" w:rsidRPr="005E200E" w:rsidRDefault="00D30D7A" w:rsidP="00D30D7A">
      <w:pPr>
        <w:spacing w:after="0" w:line="240" w:lineRule="auto"/>
        <w:mirrorIndents/>
        <w:jc w:val="both"/>
        <w:rPr>
          <w:lang w:val="de-DE"/>
        </w:rPr>
      </w:pPr>
    </w:p>
    <w:p w:rsidR="00D30D7A" w:rsidRDefault="00D30D7A" w:rsidP="00D30D7A">
      <w:pPr>
        <w:spacing w:after="0" w:line="240" w:lineRule="auto"/>
        <w:contextualSpacing/>
        <w:mirrorIndents/>
        <w:jc w:val="both"/>
      </w:pPr>
      <w:r w:rsidRPr="005E200E">
        <w:rPr>
          <w:lang w:val="de-DE"/>
        </w:rPr>
        <w:t xml:space="preserve">Die Glass Core Technology™(GCT) von Samtec ist ein proprietärer Prozess, der die vorteilhaften Eigenschaften von Glas nutzt und so Through-Glass </w:t>
      </w:r>
      <w:proofErr w:type="spellStart"/>
      <w:r w:rsidRPr="005E200E">
        <w:rPr>
          <w:lang w:val="de-DE"/>
        </w:rPr>
        <w:t>Vias</w:t>
      </w:r>
      <w:proofErr w:type="spellEnd"/>
      <w:r w:rsidRPr="005E200E">
        <w:rPr>
          <w:lang w:val="de-DE"/>
        </w:rPr>
        <w:t xml:space="preserve"> (TGVs) mit kleinen Durchmessern, geringen Abständen, hochdichter Metallisierung und hermetischer Abdichtung möglich macht.  </w:t>
      </w:r>
      <w:r>
        <w:t xml:space="preserve">Zu den </w:t>
      </w:r>
      <w:proofErr w:type="spellStart"/>
      <w:r>
        <w:t>Vorteilen</w:t>
      </w:r>
      <w:proofErr w:type="spellEnd"/>
      <w:r>
        <w:t xml:space="preserve"> von TGVs </w:t>
      </w:r>
      <w:proofErr w:type="spellStart"/>
      <w:r>
        <w:t>gehören</w:t>
      </w:r>
      <w:proofErr w:type="spellEnd"/>
      <w:r>
        <w:t>:</w:t>
      </w:r>
    </w:p>
    <w:p w:rsidR="00D30D7A" w:rsidRDefault="00D30D7A" w:rsidP="00D30D7A">
      <w:pPr>
        <w:spacing w:after="0" w:line="240" w:lineRule="auto"/>
        <w:contextualSpacing/>
        <w:mirrorIndents/>
        <w:jc w:val="both"/>
      </w:pPr>
      <w:r>
        <w:rPr>
          <w:noProof/>
        </w:rPr>
        <w:drawing>
          <wp:anchor distT="0" distB="0" distL="114300" distR="114300" simplePos="0" relativeHeight="251659264" behindDoc="0" locked="0" layoutInCell="1" allowOverlap="1">
            <wp:simplePos x="0" y="0"/>
            <wp:positionH relativeFrom="column">
              <wp:posOffset>4941570</wp:posOffset>
            </wp:positionH>
            <wp:positionV relativeFrom="paragraph">
              <wp:posOffset>11430</wp:posOffset>
            </wp:positionV>
            <wp:extent cx="1438910" cy="1219200"/>
            <wp:effectExtent l="0" t="0" r="889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0D7A" w:rsidRPr="00472B51" w:rsidRDefault="00D30D7A" w:rsidP="00D30D7A">
      <w:pPr>
        <w:pStyle w:val="Listenabsatz"/>
        <w:numPr>
          <w:ilvl w:val="0"/>
          <w:numId w:val="4"/>
        </w:numPr>
        <w:spacing w:after="0" w:line="240" w:lineRule="auto"/>
        <w:mirrorIndents/>
        <w:jc w:val="both"/>
        <w:rPr>
          <w:color w:val="000000"/>
        </w:rPr>
      </w:pPr>
      <w:r>
        <w:rPr>
          <w:color w:val="000000"/>
        </w:rPr>
        <w:t xml:space="preserve">Hermetische / hoch leitfähige </w:t>
      </w:r>
      <w:proofErr w:type="spellStart"/>
      <w:r>
        <w:rPr>
          <w:color w:val="000000"/>
        </w:rPr>
        <w:t>Vias</w:t>
      </w:r>
      <w:proofErr w:type="spellEnd"/>
    </w:p>
    <w:p w:rsidR="00D30D7A" w:rsidRPr="00AB6DD4" w:rsidRDefault="00D30D7A" w:rsidP="00D30D7A">
      <w:pPr>
        <w:pStyle w:val="Listenabsatz"/>
        <w:numPr>
          <w:ilvl w:val="0"/>
          <w:numId w:val="1"/>
        </w:numPr>
        <w:spacing w:after="0" w:line="240" w:lineRule="auto"/>
        <w:mirrorIndents/>
        <w:jc w:val="both"/>
        <w:rPr>
          <w:color w:val="000000"/>
        </w:rPr>
      </w:pPr>
      <w:r>
        <w:rPr>
          <w:color w:val="000000"/>
        </w:rPr>
        <w:t>Miniaturisierung</w:t>
      </w:r>
    </w:p>
    <w:p w:rsidR="00D30D7A" w:rsidRPr="00AB6DD4" w:rsidRDefault="00D30D7A" w:rsidP="00D30D7A">
      <w:pPr>
        <w:pStyle w:val="Listenabsatz"/>
        <w:numPr>
          <w:ilvl w:val="0"/>
          <w:numId w:val="1"/>
        </w:numPr>
        <w:spacing w:after="0" w:line="240" w:lineRule="auto"/>
        <w:mirrorIndents/>
        <w:jc w:val="both"/>
        <w:rPr>
          <w:color w:val="000000"/>
        </w:rPr>
      </w:pPr>
      <w:r>
        <w:rPr>
          <w:color w:val="000000"/>
        </w:rPr>
        <w:t>Abstand 100 µm, mit Ziel 40 µm</w:t>
      </w:r>
    </w:p>
    <w:p w:rsidR="00D30D7A" w:rsidRPr="00AB6DD4" w:rsidRDefault="00D30D7A" w:rsidP="00D30D7A">
      <w:pPr>
        <w:pStyle w:val="Listenabsatz"/>
        <w:numPr>
          <w:ilvl w:val="0"/>
          <w:numId w:val="1"/>
        </w:numPr>
        <w:spacing w:after="0" w:line="240" w:lineRule="auto"/>
        <w:mirrorIndents/>
        <w:jc w:val="both"/>
        <w:rPr>
          <w:color w:val="000000"/>
        </w:rPr>
      </w:pPr>
      <w:r>
        <w:rPr>
          <w:color w:val="000000"/>
        </w:rPr>
        <w:t>Durchmesser 40 µm, mit Ziel 10 µm</w:t>
      </w:r>
    </w:p>
    <w:p w:rsidR="00D30D7A" w:rsidRPr="00AB6DD4" w:rsidRDefault="00D30D7A" w:rsidP="00D30D7A">
      <w:pPr>
        <w:pStyle w:val="Listenabsatz"/>
        <w:numPr>
          <w:ilvl w:val="0"/>
          <w:numId w:val="1"/>
        </w:numPr>
        <w:spacing w:after="0" w:line="240" w:lineRule="auto"/>
        <w:mirrorIndents/>
        <w:jc w:val="both"/>
        <w:rPr>
          <w:color w:val="000000"/>
        </w:rPr>
      </w:pPr>
      <w:r>
        <w:rPr>
          <w:color w:val="000000"/>
        </w:rPr>
        <w:t>Lasergeformte Löcher</w:t>
      </w:r>
    </w:p>
    <w:p w:rsidR="00D30D7A" w:rsidRPr="00AB6DD4" w:rsidRDefault="00D30D7A" w:rsidP="00D30D7A">
      <w:pPr>
        <w:pStyle w:val="Listenabsatz"/>
        <w:numPr>
          <w:ilvl w:val="0"/>
          <w:numId w:val="1"/>
        </w:numPr>
        <w:spacing w:after="0" w:line="240" w:lineRule="auto"/>
        <w:mirrorIndents/>
        <w:jc w:val="both"/>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4943475</wp:posOffset>
                </wp:positionH>
                <wp:positionV relativeFrom="paragraph">
                  <wp:posOffset>170180</wp:posOffset>
                </wp:positionV>
                <wp:extent cx="1436370" cy="348615"/>
                <wp:effectExtent l="0" t="0" r="0" b="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6370" cy="348615"/>
                        </a:xfrm>
                        <a:prstGeom prst="rect">
                          <a:avLst/>
                        </a:prstGeom>
                        <a:solidFill>
                          <a:prstClr val="white"/>
                        </a:solidFill>
                        <a:ln>
                          <a:noFill/>
                        </a:ln>
                        <a:effectLst/>
                      </wps:spPr>
                      <wps:txbx>
                        <w:txbxContent>
                          <w:p w:rsidR="00D30D7A" w:rsidRPr="003A33EB" w:rsidRDefault="00D30D7A" w:rsidP="00D30D7A">
                            <w:pPr>
                              <w:pStyle w:val="Beschriftung"/>
                              <w:rPr>
                                <w:noProof/>
                                <w:color w:val="000000"/>
                              </w:rPr>
                            </w:pPr>
                            <w:r>
                              <w:t xml:space="preserve">Abbildung </w:t>
                            </w:r>
                            <w:r>
                              <w:fldChar w:fldCharType="begin"/>
                            </w:r>
                            <w:r>
                              <w:instrText xml:space="preserve"> SEQ Figure \* ARABIC </w:instrText>
                            </w:r>
                            <w:r>
                              <w:fldChar w:fldCharType="separate"/>
                            </w:r>
                            <w:r>
                              <w:rPr>
                                <w:noProof/>
                              </w:rPr>
                              <w:t>1</w:t>
                            </w:r>
                            <w:r>
                              <w:rPr>
                                <w:noProof/>
                              </w:rPr>
                              <w:fldChar w:fldCharType="end"/>
                            </w:r>
                            <w:r>
                              <w:t xml:space="preserve"> Hochdichte TGV-Metallisierung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389.25pt;margin-top:13.4pt;width:113.1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" stroked="f">
                <v:textbox inset="0,0,0,0">
                  <w:txbxContent>
                    <w:p w:rsidR="00D30D7A" w:rsidRPr="003A33EB" w:rsidRDefault="00D30D7A" w:rsidP="00D30D7A">
                      <w:pPr>
                        <w:pStyle w:val="Beschriftung"/>
                        <w:rPr>
                          <w:noProof/>
                          <w:color w:val="000000"/>
                        </w:rPr>
                      </w:pPr>
                      <w:r>
                        <w:t xml:space="preserve">Abbildung </w:t>
                      </w:r>
                      <w:r>
                        <w:fldChar w:fldCharType="begin"/>
                      </w:r>
                      <w:r>
                        <w:instrText xml:space="preserve"> SEQ Figure \* ARABIC </w:instrText>
                      </w:r>
                      <w:r>
                        <w:fldChar w:fldCharType="separate"/>
                      </w:r>
                      <w:r>
                        <w:rPr>
                          <w:noProof/>
                        </w:rPr>
                        <w:t>1</w:t>
                      </w:r>
                      <w:r>
                        <w:rPr>
                          <w:noProof/>
                        </w:rPr>
                        <w:fldChar w:fldCharType="end"/>
                      </w:r>
                      <w:r>
                        <w:t xml:space="preserve"> Hochdichte TGV-Metallisierung</w:t>
                      </w:r>
                    </w:p>
                  </w:txbxContent>
                </v:textbox>
                <w10:wrap type="square"/>
              </v:shape>
            </w:pict>
          </mc:Fallback>
        </mc:AlternateContent>
      </w:r>
      <w:r>
        <w:rPr>
          <w:color w:val="000000"/>
        </w:rPr>
        <w:t>200+ µm dickes Glas</w:t>
      </w:r>
    </w:p>
    <w:p w:rsidR="00D30D7A" w:rsidRPr="00AB6DD4" w:rsidRDefault="00D30D7A" w:rsidP="00D30D7A">
      <w:pPr>
        <w:pStyle w:val="Listenabsatz"/>
        <w:numPr>
          <w:ilvl w:val="0"/>
          <w:numId w:val="1"/>
        </w:numPr>
        <w:spacing w:after="0" w:line="240" w:lineRule="auto"/>
        <w:mirrorIndents/>
        <w:jc w:val="both"/>
        <w:rPr>
          <w:color w:val="000000"/>
        </w:rPr>
      </w:pPr>
      <w:r>
        <w:rPr>
          <w:color w:val="000000"/>
        </w:rPr>
        <w:t xml:space="preserve">Optimierte </w:t>
      </w:r>
      <w:proofErr w:type="spellStart"/>
      <w:r>
        <w:rPr>
          <w:color w:val="000000"/>
        </w:rPr>
        <w:t>Koplanarität</w:t>
      </w:r>
      <w:proofErr w:type="spellEnd"/>
      <w:r>
        <w:rPr>
          <w:color w:val="000000"/>
        </w:rPr>
        <w:t xml:space="preserve"> (&lt; 20 µm </w:t>
      </w:r>
      <w:proofErr w:type="spellStart"/>
      <w:r>
        <w:rPr>
          <w:color w:val="000000"/>
        </w:rPr>
        <w:t>Waferbeugung</w:t>
      </w:r>
      <w:proofErr w:type="spellEnd"/>
      <w:r>
        <w:rPr>
          <w:color w:val="000000"/>
        </w:rPr>
        <w:t>)</w:t>
      </w:r>
    </w:p>
    <w:p w:rsidR="00D30D7A" w:rsidRDefault="00D30D7A" w:rsidP="00D30D7A">
      <w:pPr>
        <w:spacing w:after="0" w:line="240" w:lineRule="auto"/>
        <w:contextualSpacing/>
        <w:mirrorIndents/>
        <w:jc w:val="both"/>
        <w:rPr>
          <w:color w:val="000000"/>
        </w:rPr>
      </w:pPr>
    </w:p>
    <w:p w:rsidR="00D30D7A" w:rsidRPr="005E200E" w:rsidRDefault="00D30D7A" w:rsidP="00D30D7A">
      <w:pPr>
        <w:spacing w:after="0" w:line="240" w:lineRule="auto"/>
        <w:contextualSpacing/>
        <w:mirrorIndents/>
        <w:jc w:val="both"/>
        <w:rPr>
          <w:color w:val="000000"/>
          <w:lang w:val="de-DE"/>
        </w:rPr>
      </w:pPr>
      <w:r w:rsidRPr="005E200E">
        <w:rPr>
          <w:color w:val="000000"/>
          <w:lang w:val="de-DE"/>
        </w:rPr>
        <w:t xml:space="preserve">Samtec bietet TGVs in drei Ausführungen an: konisch, tailliert und gerade. Die TGV-Ausführung hängt ab von den Anforderungen der Branche und der Anwendung. TGVs ermöglichen TGV-Wafer und </w:t>
      </w:r>
      <w:proofErr w:type="spellStart"/>
      <w:r w:rsidRPr="005E200E">
        <w:rPr>
          <w:color w:val="000000"/>
          <w:lang w:val="de-DE"/>
        </w:rPr>
        <w:t>Interposer</w:t>
      </w:r>
      <w:proofErr w:type="spellEnd"/>
      <w:r w:rsidRPr="005E200E">
        <w:rPr>
          <w:color w:val="000000"/>
          <w:lang w:val="de-DE"/>
        </w:rPr>
        <w:t>-Dies. TGV-Wafer erlauben die Integration von Glas und Metall in denselbe</w:t>
      </w:r>
      <w:r>
        <w:rPr>
          <w:color w:val="000000"/>
          <w:lang w:val="de-DE"/>
        </w:rPr>
        <w:t xml:space="preserve">n Wafer, während ein </w:t>
      </w:r>
      <w:proofErr w:type="spellStart"/>
      <w:r>
        <w:rPr>
          <w:color w:val="000000"/>
          <w:lang w:val="de-DE"/>
        </w:rPr>
        <w:t>Interposer</w:t>
      </w:r>
      <w:proofErr w:type="spellEnd"/>
      <w:r>
        <w:rPr>
          <w:color w:val="000000"/>
          <w:lang w:val="de-DE"/>
        </w:rPr>
        <w:t xml:space="preserve">. </w:t>
      </w:r>
      <w:r w:rsidRPr="005E200E">
        <w:rPr>
          <w:color w:val="000000"/>
          <w:lang w:val="de-DE"/>
        </w:rPr>
        <w:t xml:space="preserve">Die effizienteren Verbindungen und Taktzeiten ermöglicht. Die hermetisch abgedichteten Wafer sind sowohl aus hochwertigem Borosilikat- als auch Quarzglas gefertigt. Durch die Verwendung hochwertiger </w:t>
      </w:r>
      <w:proofErr w:type="spellStart"/>
      <w:r w:rsidRPr="005E200E">
        <w:rPr>
          <w:color w:val="000000"/>
          <w:lang w:val="de-DE"/>
        </w:rPr>
        <w:t>Wafermaterialien</w:t>
      </w:r>
      <w:proofErr w:type="spellEnd"/>
      <w:r w:rsidRPr="005E200E">
        <w:rPr>
          <w:color w:val="000000"/>
          <w:lang w:val="de-DE"/>
        </w:rPr>
        <w:t xml:space="preserve"> in Kombination mit einer hervorragenden Metallisierungstechnik werden die Wafer von Samtec zu einem einzigartigen AVT-Produkt.</w:t>
      </w:r>
    </w:p>
    <w:p w:rsidR="00D30D7A" w:rsidRPr="005E200E" w:rsidRDefault="00D30D7A" w:rsidP="00D30D7A">
      <w:pPr>
        <w:spacing w:after="0" w:line="240" w:lineRule="auto"/>
        <w:contextualSpacing/>
        <w:mirrorIndents/>
        <w:jc w:val="both"/>
        <w:rPr>
          <w:color w:val="000000"/>
          <w:lang w:val="de-DE"/>
        </w:rPr>
      </w:pPr>
      <w:r>
        <w:rPr>
          <w:noProof/>
        </w:rPr>
        <w:drawing>
          <wp:anchor distT="0" distB="0" distL="114300" distR="114300" simplePos="0" relativeHeight="251661312" behindDoc="1" locked="0" layoutInCell="1" allowOverlap="1">
            <wp:simplePos x="0" y="0"/>
            <wp:positionH relativeFrom="column">
              <wp:posOffset>5133975</wp:posOffset>
            </wp:positionH>
            <wp:positionV relativeFrom="paragraph">
              <wp:posOffset>153035</wp:posOffset>
            </wp:positionV>
            <wp:extent cx="1460500" cy="1257300"/>
            <wp:effectExtent l="0" t="0" r="6350" b="0"/>
            <wp:wrapTight wrapText="bothSides">
              <wp:wrapPolygon edited="0">
                <wp:start x="0" y="0"/>
                <wp:lineTo x="0" y="21273"/>
                <wp:lineTo x="21412" y="21273"/>
                <wp:lineTo x="2141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5229225</wp:posOffset>
                </wp:positionH>
                <wp:positionV relativeFrom="paragraph">
                  <wp:posOffset>1467485</wp:posOffset>
                </wp:positionV>
                <wp:extent cx="1460500" cy="405765"/>
                <wp:effectExtent l="0" t="0" r="6350" b="0"/>
                <wp:wrapTight wrapText="bothSides">
                  <wp:wrapPolygon edited="0">
                    <wp:start x="0" y="0"/>
                    <wp:lineTo x="0" y="20282"/>
                    <wp:lineTo x="21412" y="20282"/>
                    <wp:lineTo x="21412" y="0"/>
                    <wp:lineTo x="0" y="0"/>
                  </wp:wrapPolygon>
                </wp:wrapTight>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405765"/>
                        </a:xfrm>
                        <a:prstGeom prst="rect">
                          <a:avLst/>
                        </a:prstGeom>
                        <a:solidFill>
                          <a:prstClr val="white"/>
                        </a:solidFill>
                        <a:ln>
                          <a:noFill/>
                        </a:ln>
                        <a:effectLst/>
                      </wps:spPr>
                      <wps:txbx>
                        <w:txbxContent>
                          <w:p w:rsidR="00D30D7A" w:rsidRPr="00CD4D9C" w:rsidRDefault="00D30D7A" w:rsidP="00D30D7A">
                            <w:pPr>
                              <w:pStyle w:val="Beschriftung"/>
                              <w:rPr>
                                <w:noProof/>
                              </w:rPr>
                            </w:pPr>
                            <w:r>
                              <w:t xml:space="preserve">Abbildung </w:t>
                            </w:r>
                            <w:r>
                              <w:fldChar w:fldCharType="begin"/>
                            </w:r>
                            <w:r>
                              <w:instrText xml:space="preserve"> SEQ Figure \* ARABIC </w:instrText>
                            </w:r>
                            <w:r>
                              <w:fldChar w:fldCharType="separate"/>
                            </w:r>
                            <w:r>
                              <w:rPr>
                                <w:noProof/>
                              </w:rPr>
                              <w:t>2</w:t>
                            </w:r>
                            <w:r>
                              <w:rPr>
                                <w:noProof/>
                              </w:rPr>
                              <w:fldChar w:fldCharType="end"/>
                            </w:r>
                            <w:r>
                              <w:t xml:space="preserve"> RDL-Schaltungsstrukturierung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0" o:spid="_x0000_s1027" type="#_x0000_t202" style="position:absolute;left:0;text-align:left;margin-left:411.75pt;margin-top:115.55pt;width:115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" stroked="f">
                <v:textbox style="mso-fit-shape-to-text:t" inset="0,0,0,0">
                  <w:txbxContent>
                    <w:p w:rsidR="00D30D7A" w:rsidRPr="00CD4D9C" w:rsidRDefault="00D30D7A" w:rsidP="00D30D7A">
                      <w:pPr>
                        <w:pStyle w:val="Beschriftung"/>
                        <w:rPr>
                          <w:noProof/>
                        </w:rPr>
                      </w:pPr>
                      <w:r>
                        <w:t xml:space="preserve">Abbildung </w:t>
                      </w:r>
                      <w:r>
                        <w:fldChar w:fldCharType="begin"/>
                      </w:r>
                      <w:r>
                        <w:instrText xml:space="preserve"> SEQ Figure \* ARABIC </w:instrText>
                      </w:r>
                      <w:r>
                        <w:fldChar w:fldCharType="separate"/>
                      </w:r>
                      <w:r>
                        <w:rPr>
                          <w:noProof/>
                        </w:rPr>
                        <w:t>2</w:t>
                      </w:r>
                      <w:r>
                        <w:rPr>
                          <w:noProof/>
                        </w:rPr>
                        <w:fldChar w:fldCharType="end"/>
                      </w:r>
                      <w:r>
                        <w:t xml:space="preserve"> RDL-Schaltungsstrukturierung</w:t>
                      </w:r>
                    </w:p>
                  </w:txbxContent>
                </v:textbox>
                <w10:wrap type="tight"/>
              </v:shape>
            </w:pict>
          </mc:Fallback>
        </mc:AlternateContent>
      </w:r>
    </w:p>
    <w:p w:rsidR="00D30D7A" w:rsidRPr="005E200E" w:rsidRDefault="00D30D7A" w:rsidP="00D30D7A">
      <w:pPr>
        <w:spacing w:after="0" w:line="240" w:lineRule="auto"/>
        <w:contextualSpacing/>
        <w:mirrorIndents/>
        <w:jc w:val="both"/>
        <w:rPr>
          <w:lang w:val="de-DE"/>
        </w:rPr>
      </w:pPr>
      <w:r w:rsidRPr="005E200E">
        <w:rPr>
          <w:lang w:val="de-DE"/>
        </w:rPr>
        <w:t>Die TGVs werden mithilfe eines Redistribution-Layer(RDL)-Prozesses in Dünnschichttechnik miteinander verbunden. Diese Technik ermöglicht die Schaltungsstrukturierung über die Ober- und Unterseite von Glassubstraten.  Dieser Prozess bietet eine verlustarme Ausgangsverzweigung (Fan-out) von Chip- und Package-Verbindungen zu einem geringeren Preis als Silizium-</w:t>
      </w:r>
      <w:proofErr w:type="spellStart"/>
      <w:r w:rsidRPr="005E200E">
        <w:rPr>
          <w:lang w:val="de-DE"/>
        </w:rPr>
        <w:t>Interposer</w:t>
      </w:r>
      <w:proofErr w:type="spellEnd"/>
      <w:r w:rsidRPr="005E200E">
        <w:rPr>
          <w:lang w:val="de-DE"/>
        </w:rPr>
        <w:t xml:space="preserve">. </w:t>
      </w:r>
    </w:p>
    <w:p w:rsidR="00D30D7A" w:rsidRPr="005E200E" w:rsidRDefault="00D30D7A" w:rsidP="00D30D7A">
      <w:pPr>
        <w:spacing w:after="0" w:line="240" w:lineRule="auto"/>
        <w:contextualSpacing/>
        <w:mirrorIndents/>
        <w:jc w:val="both"/>
        <w:rPr>
          <w:lang w:val="de-DE"/>
        </w:rPr>
      </w:pPr>
    </w:p>
    <w:p w:rsidR="00D30D7A" w:rsidRPr="005E200E" w:rsidRDefault="00D30D7A" w:rsidP="00D30D7A">
      <w:pPr>
        <w:spacing w:after="0" w:line="240" w:lineRule="auto"/>
        <w:contextualSpacing/>
        <w:mirrorIndents/>
        <w:jc w:val="both"/>
        <w:rPr>
          <w:color w:val="000000"/>
          <w:lang w:val="de-DE"/>
        </w:rPr>
      </w:pPr>
      <w:r w:rsidRPr="005E200E">
        <w:rPr>
          <w:lang w:val="de-DE"/>
        </w:rPr>
        <w:t xml:space="preserve">Das Ergebnis ist ein leistungsoptimiertes und stark miniaturisiertes Substrat, das perfekt für die nächste AVT-Generation geeignet ist. GCT erreicht im Vergleich zu herkömmlichen AVT-Substraten bei IC-Packages, Modulen und Bauelementen auf Glasbasis höchste Funktionalität bei erheblich reduziertem Platzbedarf. </w:t>
      </w:r>
      <w:r w:rsidRPr="005E200E">
        <w:rPr>
          <w:color w:val="000000"/>
          <w:lang w:val="de-DE"/>
        </w:rPr>
        <w:t xml:space="preserve">GCT ermöglicht darüber hinaus kürzere Zykluszeiten und eine „Funktionsprüfung“ (KGD, </w:t>
      </w:r>
      <w:proofErr w:type="spellStart"/>
      <w:r w:rsidRPr="005E200E">
        <w:rPr>
          <w:color w:val="000000"/>
          <w:lang w:val="de-DE"/>
        </w:rPr>
        <w:t>Known</w:t>
      </w:r>
      <w:proofErr w:type="spellEnd"/>
      <w:r w:rsidRPr="005E200E">
        <w:rPr>
          <w:color w:val="000000"/>
          <w:lang w:val="de-DE"/>
        </w:rPr>
        <w:t xml:space="preserve"> </w:t>
      </w:r>
      <w:proofErr w:type="spellStart"/>
      <w:r w:rsidRPr="005E200E">
        <w:rPr>
          <w:color w:val="000000"/>
          <w:lang w:val="de-DE"/>
        </w:rPr>
        <w:t>Good</w:t>
      </w:r>
      <w:proofErr w:type="spellEnd"/>
      <w:r w:rsidRPr="005E200E">
        <w:rPr>
          <w:color w:val="000000"/>
          <w:lang w:val="de-DE"/>
        </w:rPr>
        <w:t xml:space="preserve"> Die) auf höherer Integrationsebene – und das zu den niedrigsten Kosten auf dem Markt. </w:t>
      </w:r>
    </w:p>
    <w:p w:rsidR="00D30D7A" w:rsidRDefault="00D30D7A" w:rsidP="00D30D7A">
      <w:pPr>
        <w:spacing w:after="0" w:line="240" w:lineRule="auto"/>
        <w:contextualSpacing/>
        <w:mirrorIndents/>
        <w:jc w:val="both"/>
        <w:rPr>
          <w:b/>
          <w:color w:val="222222"/>
          <w:sz w:val="32"/>
          <w:szCs w:val="32"/>
          <w:lang w:val="de-DE"/>
        </w:rPr>
      </w:pPr>
    </w:p>
    <w:p w:rsidR="00D30D7A" w:rsidRDefault="00D30D7A" w:rsidP="00D30D7A">
      <w:pPr>
        <w:spacing w:after="0" w:line="240" w:lineRule="auto"/>
        <w:contextualSpacing/>
        <w:mirrorIndents/>
        <w:jc w:val="both"/>
        <w:rPr>
          <w:b/>
          <w:color w:val="222222"/>
          <w:sz w:val="32"/>
          <w:szCs w:val="32"/>
          <w:lang w:val="de-DE"/>
        </w:rPr>
      </w:pPr>
    </w:p>
    <w:p w:rsidR="00D30D7A" w:rsidRDefault="00D30D7A" w:rsidP="00D30D7A">
      <w:pPr>
        <w:spacing w:after="0" w:line="240" w:lineRule="auto"/>
        <w:contextualSpacing/>
        <w:mirrorIndents/>
        <w:jc w:val="both"/>
        <w:rPr>
          <w:b/>
          <w:color w:val="222222"/>
          <w:sz w:val="32"/>
          <w:szCs w:val="32"/>
          <w:lang w:val="de-DE"/>
        </w:rPr>
      </w:pPr>
    </w:p>
    <w:p w:rsidR="00D30D7A" w:rsidRDefault="00D30D7A" w:rsidP="00D30D7A">
      <w:pPr>
        <w:spacing w:after="0" w:line="240" w:lineRule="auto"/>
        <w:contextualSpacing/>
        <w:mirrorIndents/>
        <w:jc w:val="both"/>
        <w:rPr>
          <w:b/>
          <w:color w:val="222222"/>
          <w:sz w:val="32"/>
          <w:szCs w:val="32"/>
          <w:lang w:val="de-DE"/>
        </w:rPr>
      </w:pPr>
    </w:p>
    <w:p w:rsidR="00D30D7A" w:rsidRDefault="00D30D7A" w:rsidP="00D30D7A">
      <w:pPr>
        <w:spacing w:after="0" w:line="240" w:lineRule="auto"/>
        <w:contextualSpacing/>
        <w:mirrorIndents/>
        <w:jc w:val="both"/>
        <w:rPr>
          <w:b/>
          <w:color w:val="222222"/>
          <w:sz w:val="32"/>
          <w:szCs w:val="32"/>
          <w:lang w:val="de-DE"/>
        </w:rPr>
      </w:pPr>
    </w:p>
    <w:p w:rsidR="00D30D7A" w:rsidRPr="00F26DBB" w:rsidRDefault="00D30D7A" w:rsidP="00D30D7A">
      <w:pPr>
        <w:spacing w:after="0" w:line="240" w:lineRule="auto"/>
        <w:contextualSpacing/>
        <w:mirrorIndents/>
        <w:jc w:val="both"/>
        <w:rPr>
          <w:color w:val="000000"/>
          <w:sz w:val="32"/>
          <w:szCs w:val="32"/>
          <w:lang w:val="de-DE"/>
        </w:rPr>
      </w:pPr>
      <w:proofErr w:type="spellStart"/>
      <w:r w:rsidRPr="00F26DBB">
        <w:rPr>
          <w:b/>
          <w:color w:val="222222"/>
          <w:sz w:val="32"/>
          <w:szCs w:val="32"/>
          <w:lang w:val="de-DE"/>
        </w:rPr>
        <w:lastRenderedPageBreak/>
        <w:t>IoT</w:t>
      </w:r>
      <w:proofErr w:type="spellEnd"/>
      <w:r w:rsidRPr="00F26DBB">
        <w:rPr>
          <w:b/>
          <w:color w:val="222222"/>
          <w:sz w:val="32"/>
          <w:szCs w:val="32"/>
          <w:lang w:val="de-DE"/>
        </w:rPr>
        <w:t>-Anwendungen der nächsten Generation müssen schrumpfen</w:t>
      </w:r>
      <w:r w:rsidRPr="00F26DBB">
        <w:rPr>
          <w:color w:val="000000"/>
          <w:sz w:val="32"/>
          <w:szCs w:val="32"/>
          <w:lang w:val="de-DE"/>
        </w:rPr>
        <w:t xml:space="preserve"> </w:t>
      </w:r>
    </w:p>
    <w:p w:rsidR="00D30D7A" w:rsidRDefault="00D30D7A" w:rsidP="00D30D7A">
      <w:pPr>
        <w:spacing w:after="0" w:line="240" w:lineRule="auto"/>
        <w:contextualSpacing/>
        <w:mirrorIndents/>
        <w:jc w:val="both"/>
        <w:rPr>
          <w:color w:val="000000"/>
          <w:lang w:val="de-DE"/>
        </w:rPr>
      </w:pPr>
    </w:p>
    <w:p w:rsidR="00D30D7A" w:rsidRPr="005E200E" w:rsidRDefault="00D30D7A" w:rsidP="00D30D7A">
      <w:pPr>
        <w:spacing w:after="0" w:line="240" w:lineRule="auto"/>
        <w:contextualSpacing/>
        <w:mirrorIndents/>
        <w:jc w:val="both"/>
        <w:rPr>
          <w:color w:val="000000"/>
          <w:lang w:val="de-DE"/>
        </w:rPr>
      </w:pPr>
      <w:r w:rsidRPr="005E200E">
        <w:rPr>
          <w:color w:val="000000"/>
          <w:lang w:val="de-DE"/>
        </w:rPr>
        <w:t xml:space="preserve">Es setzen sich mehr und mehr neue und spannende Anwendungen durch, die die Vorteile von GCT nutzen.  Biomedizinische Sensoren mit </w:t>
      </w:r>
      <w:proofErr w:type="spellStart"/>
      <w:r w:rsidRPr="005E200E">
        <w:rPr>
          <w:color w:val="000000"/>
          <w:lang w:val="de-DE"/>
        </w:rPr>
        <w:t>IoT</w:t>
      </w:r>
      <w:proofErr w:type="spellEnd"/>
      <w:r w:rsidRPr="005E200E">
        <w:rPr>
          <w:color w:val="000000"/>
          <w:lang w:val="de-DE"/>
        </w:rPr>
        <w:t xml:space="preserve">-Vernetzung können mithilfe von Prozessen auf </w:t>
      </w:r>
      <w:proofErr w:type="spellStart"/>
      <w:r w:rsidRPr="005E200E">
        <w:rPr>
          <w:color w:val="000000"/>
          <w:lang w:val="de-DE"/>
        </w:rPr>
        <w:t>Waferebene</w:t>
      </w:r>
      <w:proofErr w:type="spellEnd"/>
      <w:r w:rsidRPr="005E200E">
        <w:rPr>
          <w:color w:val="000000"/>
          <w:lang w:val="de-DE"/>
        </w:rPr>
        <w:t xml:space="preserve"> gebaut werden.  GCT bietet eine hervorragende AVT-Plattform für die Integration optischer Wellenleiter und Abstimmspiegel für viele hoch entwickelte optische Anwendungen, die in vielen verschiedenen Anbindungs- und Vernetzungsanwendungen zum Einsatz kommen.</w:t>
      </w:r>
    </w:p>
    <w:p w:rsidR="00D30D7A" w:rsidRPr="005E200E" w:rsidRDefault="00D30D7A" w:rsidP="00D30D7A">
      <w:pPr>
        <w:spacing w:after="0" w:line="240" w:lineRule="auto"/>
        <w:jc w:val="both"/>
        <w:rPr>
          <w:b/>
          <w:lang w:val="de-DE"/>
        </w:rPr>
      </w:pPr>
    </w:p>
    <w:p w:rsidR="00D30D7A" w:rsidRPr="005E200E" w:rsidRDefault="00D30D7A" w:rsidP="00D30D7A">
      <w:pPr>
        <w:jc w:val="both"/>
        <w:rPr>
          <w:b/>
          <w:lang w:val="de-DE"/>
        </w:rPr>
      </w:pPr>
      <w:proofErr w:type="spellStart"/>
      <w:r w:rsidRPr="005E200E">
        <w:rPr>
          <w:b/>
          <w:lang w:val="de-DE"/>
        </w:rPr>
        <w:t>nMode</w:t>
      </w:r>
      <w:proofErr w:type="spellEnd"/>
      <w:r w:rsidRPr="005E200E">
        <w:rPr>
          <w:b/>
          <w:lang w:val="de-DE"/>
        </w:rPr>
        <w:t>™-Module und -Komponenten</w:t>
      </w:r>
    </w:p>
    <w:p w:rsidR="00D30D7A" w:rsidRPr="005E200E" w:rsidRDefault="00D30D7A" w:rsidP="00D30D7A">
      <w:pPr>
        <w:spacing w:after="0" w:line="240" w:lineRule="auto"/>
        <w:contextualSpacing/>
        <w:mirrorIndents/>
        <w:jc w:val="both"/>
        <w:rPr>
          <w:lang w:val="de-DE"/>
        </w:rPr>
      </w:pPr>
      <w:r w:rsidRPr="005E200E">
        <w:rPr>
          <w:lang w:val="de-DE"/>
        </w:rPr>
        <w:t xml:space="preserve">Hoch entwickelte AVT-Fähigkeiten und -Services sowie die Verringerung der Substratabmessungen sind Werkzeuge, die OEMs auf der Suche nach neuen Möglichkeiten für die Industrie 4.0 individuell nutzen können.  Durch die Kombination von AVT und Glassubstraten mit dem Design auf Systemebene entsteht die ideale Plattform für die Entwickler von </w:t>
      </w:r>
      <w:proofErr w:type="spellStart"/>
      <w:r w:rsidRPr="005E200E">
        <w:rPr>
          <w:lang w:val="de-DE"/>
        </w:rPr>
        <w:t>IoT</w:t>
      </w:r>
      <w:proofErr w:type="spellEnd"/>
      <w:r w:rsidRPr="005E200E">
        <w:rPr>
          <w:lang w:val="de-DE"/>
        </w:rPr>
        <w:t>-Applikationen, um sich die Vorteile der Next-Generation-Produkte zunutze zu machen.</w:t>
      </w:r>
    </w:p>
    <w:p w:rsidR="00D30D7A" w:rsidRPr="005E200E" w:rsidRDefault="00D30D7A" w:rsidP="00D30D7A">
      <w:pPr>
        <w:spacing w:after="0" w:line="240" w:lineRule="auto"/>
        <w:contextualSpacing/>
        <w:mirrorIndents/>
        <w:jc w:val="both"/>
        <w:rPr>
          <w:lang w:val="de-DE"/>
        </w:rPr>
      </w:pPr>
    </w:p>
    <w:p w:rsidR="00D30D7A" w:rsidRPr="005E200E" w:rsidRDefault="00D30D7A" w:rsidP="00D30D7A">
      <w:pPr>
        <w:spacing w:after="0" w:line="240" w:lineRule="auto"/>
        <w:contextualSpacing/>
        <w:mirrorIndents/>
        <w:jc w:val="both"/>
        <w:rPr>
          <w:lang w:val="de-DE"/>
        </w:rPr>
      </w:pPr>
      <w:r>
        <w:rPr>
          <w:noProof/>
        </w:rPr>
        <w:drawing>
          <wp:anchor distT="0" distB="0" distL="114300" distR="114300" simplePos="0" relativeHeight="251663360" behindDoc="0" locked="0" layoutInCell="1" allowOverlap="1">
            <wp:simplePos x="0" y="0"/>
            <wp:positionH relativeFrom="column">
              <wp:posOffset>3495675</wp:posOffset>
            </wp:positionH>
            <wp:positionV relativeFrom="paragraph">
              <wp:posOffset>44450</wp:posOffset>
            </wp:positionV>
            <wp:extent cx="3114040" cy="2238375"/>
            <wp:effectExtent l="0" t="0" r="0"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04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00E">
        <w:rPr>
          <w:lang w:val="de-DE"/>
        </w:rPr>
        <w:t xml:space="preserve">Eine der ersten verfügbaren Lösungen, die sämtliche dieser Fähigkeiten in sich vereint, ist das Samtec </w:t>
      </w:r>
      <w:proofErr w:type="spellStart"/>
      <w:r w:rsidRPr="005E200E">
        <w:rPr>
          <w:lang w:val="de-DE"/>
        </w:rPr>
        <w:t>nMode</w:t>
      </w:r>
      <w:proofErr w:type="spellEnd"/>
      <w:r w:rsidRPr="005E200E">
        <w:rPr>
          <w:lang w:val="de-DE"/>
        </w:rPr>
        <w:t>™ Wireless Sensor Module.  Dieses neue Modul ermöglicht die Fernerfassung und -messung von Trägheits-, Umwelt- und Akustikparametern. Die vorgefertigten Module von Samtec, in die serienmäßige ICs verbaut sind, sind mit Funk-, Mikrocontroller- und Sensorkomponenten bzw. -</w:t>
      </w:r>
      <w:proofErr w:type="spellStart"/>
      <w:r w:rsidRPr="005E200E">
        <w:rPr>
          <w:lang w:val="de-DE"/>
        </w:rPr>
        <w:t>bauelementen</w:t>
      </w:r>
      <w:proofErr w:type="spellEnd"/>
      <w:r w:rsidRPr="005E200E">
        <w:rPr>
          <w:lang w:val="de-DE"/>
        </w:rPr>
        <w:t xml:space="preserve"> bestückt, die den Branchenstandards entsprechen und vollständig geprüft und zugelassen sind. </w:t>
      </w:r>
    </w:p>
    <w:p w:rsidR="00D30D7A" w:rsidRPr="005E200E" w:rsidRDefault="00D30D7A" w:rsidP="00D30D7A">
      <w:pPr>
        <w:spacing w:after="0" w:line="240" w:lineRule="auto"/>
        <w:contextualSpacing/>
        <w:mirrorIndents/>
        <w:jc w:val="both"/>
        <w:rPr>
          <w:lang w:val="de-DE"/>
        </w:rPr>
      </w:pPr>
    </w:p>
    <w:p w:rsidR="00D30D7A" w:rsidRPr="005E200E" w:rsidRDefault="00D30D7A" w:rsidP="00D30D7A">
      <w:pPr>
        <w:spacing w:after="0" w:line="240" w:lineRule="auto"/>
        <w:contextualSpacing/>
        <w:mirrorIndents/>
        <w:jc w:val="both"/>
        <w:rPr>
          <w:lang w:val="de-DE"/>
        </w:rPr>
      </w:pPr>
      <w:r>
        <w:rPr>
          <w:noProof/>
        </w:rPr>
        <mc:AlternateContent>
          <mc:Choice Requires="wps">
            <w:drawing>
              <wp:anchor distT="0" distB="0" distL="114300" distR="114300" simplePos="0" relativeHeight="251664384" behindDoc="0" locked="0" layoutInCell="1" allowOverlap="1">
                <wp:simplePos x="0" y="0"/>
                <wp:positionH relativeFrom="column">
                  <wp:posOffset>3543935</wp:posOffset>
                </wp:positionH>
                <wp:positionV relativeFrom="paragraph">
                  <wp:posOffset>784860</wp:posOffset>
                </wp:positionV>
                <wp:extent cx="3114040" cy="266700"/>
                <wp:effectExtent l="0" t="0" r="0" b="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040" cy="266700"/>
                        </a:xfrm>
                        <a:prstGeom prst="rect">
                          <a:avLst/>
                        </a:prstGeom>
                        <a:solidFill>
                          <a:prstClr val="white"/>
                        </a:solidFill>
                        <a:ln>
                          <a:noFill/>
                        </a:ln>
                        <a:effectLst/>
                      </wps:spPr>
                      <wps:txbx>
                        <w:txbxContent>
                          <w:p w:rsidR="00D30D7A" w:rsidRPr="00B77E9D" w:rsidRDefault="00D30D7A" w:rsidP="00D30D7A">
                            <w:pPr>
                              <w:pStyle w:val="Beschriftung"/>
                              <w:jc w:val="center"/>
                              <w:rPr>
                                <w:noProof/>
                              </w:rPr>
                            </w:pPr>
                            <w:r>
                              <w:t xml:space="preserve">Abbildung </w:t>
                            </w:r>
                            <w:r>
                              <w:fldChar w:fldCharType="begin"/>
                            </w:r>
                            <w:r>
                              <w:instrText xml:space="preserve"> SEQ Figure \* ARABIC </w:instrText>
                            </w:r>
                            <w:r>
                              <w:fldChar w:fldCharType="separate"/>
                            </w:r>
                            <w:r>
                              <w:rPr>
                                <w:noProof/>
                              </w:rPr>
                              <w:t>3</w:t>
                            </w:r>
                            <w:r>
                              <w:rPr>
                                <w:noProof/>
                              </w:rPr>
                              <w:fldChar w:fldCharType="end"/>
                            </w:r>
                            <w:r>
                              <w:t xml:space="preserve"> </w:t>
                            </w:r>
                            <w:proofErr w:type="spellStart"/>
                            <w:r>
                              <w:t>nMode</w:t>
                            </w:r>
                            <w:proofErr w:type="spellEnd"/>
                            <w:r>
                              <w:t>™ Wireless Sensor Module OSM-1-1313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left:0;text-align:left;margin-left:279.05pt;margin-top:61.8pt;width:245.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" stroked="f">
                <v:textbox style="mso-fit-shape-to-text:t" inset="0,0,0,0">
                  <w:txbxContent>
                    <w:p w:rsidR="00D30D7A" w:rsidRPr="00B77E9D" w:rsidRDefault="00D30D7A" w:rsidP="00D30D7A">
                      <w:pPr>
                        <w:pStyle w:val="Beschriftung"/>
                        <w:jc w:val="center"/>
                        <w:rPr>
                          <w:noProof/>
                        </w:rPr>
                      </w:pPr>
                      <w:r>
                        <w:t xml:space="preserve">Abbildung </w:t>
                      </w:r>
                      <w:r>
                        <w:fldChar w:fldCharType="begin"/>
                      </w:r>
                      <w:r>
                        <w:instrText xml:space="preserve"> SEQ Figure \* ARABIC </w:instrText>
                      </w:r>
                      <w:r>
                        <w:fldChar w:fldCharType="separate"/>
                      </w:r>
                      <w:r>
                        <w:rPr>
                          <w:noProof/>
                        </w:rPr>
                        <w:t>3</w:t>
                      </w:r>
                      <w:r>
                        <w:rPr>
                          <w:noProof/>
                        </w:rPr>
                        <w:fldChar w:fldCharType="end"/>
                      </w:r>
                      <w:r>
                        <w:t xml:space="preserve"> </w:t>
                      </w:r>
                      <w:proofErr w:type="spellStart"/>
                      <w:r>
                        <w:t>nMode</w:t>
                      </w:r>
                      <w:proofErr w:type="spellEnd"/>
                      <w:r>
                        <w:t>™ Wireless Sensor Module OSM-1-1313</w:t>
                      </w:r>
                    </w:p>
                  </w:txbxContent>
                </v:textbox>
                <w10:wrap type="square"/>
              </v:shape>
            </w:pict>
          </mc:Fallback>
        </mc:AlternateContent>
      </w:r>
      <w:r w:rsidRPr="005E200E">
        <w:rPr>
          <w:lang w:val="de-DE"/>
        </w:rPr>
        <w:t xml:space="preserve">Die geringe Größe und die leistungsfähige Auslegung machen das </w:t>
      </w:r>
      <w:proofErr w:type="spellStart"/>
      <w:r w:rsidRPr="005E200E">
        <w:rPr>
          <w:lang w:val="de-DE"/>
        </w:rPr>
        <w:t>nMode</w:t>
      </w:r>
      <w:proofErr w:type="spellEnd"/>
      <w:r w:rsidRPr="005E200E">
        <w:rPr>
          <w:lang w:val="de-DE"/>
        </w:rPr>
        <w:t xml:space="preserve">™ Wireless Sensor Module als eigenständiger Knoten nicht nur zur idealen Wahl für Produkte wie Wearables und Gaming-Zubehör, sondern auch für Smart Home- und eine unbegrenzte Anzahl an </w:t>
      </w:r>
      <w:proofErr w:type="spellStart"/>
      <w:r w:rsidRPr="005E200E">
        <w:rPr>
          <w:lang w:val="de-DE"/>
        </w:rPr>
        <w:t>IoT</w:t>
      </w:r>
      <w:proofErr w:type="spellEnd"/>
      <w:r w:rsidRPr="005E200E">
        <w:rPr>
          <w:lang w:val="de-DE"/>
        </w:rPr>
        <w:t>-Anwendungen.  Der modulare Aufbau ermöglicht die unkomplizierte funktionelle Anpassung in den Entwurfs- und Entwicklungsphasen und verkürzt die Zeit bis zur Markteinführung für die Fertigung erheblich.</w:t>
      </w:r>
    </w:p>
    <w:p w:rsidR="00D30D7A" w:rsidRPr="005E200E" w:rsidRDefault="00D30D7A" w:rsidP="00D30D7A">
      <w:pPr>
        <w:spacing w:after="0" w:line="240" w:lineRule="auto"/>
        <w:contextualSpacing/>
        <w:mirrorIndents/>
        <w:jc w:val="both"/>
        <w:rPr>
          <w:lang w:val="de-DE"/>
        </w:rPr>
      </w:pPr>
    </w:p>
    <w:p w:rsidR="00D30D7A" w:rsidRPr="005E200E" w:rsidRDefault="00D30D7A" w:rsidP="00D30D7A">
      <w:pPr>
        <w:spacing w:after="0" w:line="240" w:lineRule="auto"/>
        <w:contextualSpacing/>
        <w:mirrorIndents/>
        <w:jc w:val="both"/>
        <w:rPr>
          <w:lang w:val="de-DE"/>
        </w:rPr>
      </w:pPr>
      <w:r w:rsidRPr="005E200E">
        <w:rPr>
          <w:lang w:val="de-DE"/>
        </w:rPr>
        <w:t xml:space="preserve">Samtec hat das </w:t>
      </w:r>
      <w:proofErr w:type="spellStart"/>
      <w:r w:rsidRPr="005E200E">
        <w:rPr>
          <w:lang w:val="de-DE"/>
        </w:rPr>
        <w:t>nMode</w:t>
      </w:r>
      <w:proofErr w:type="spellEnd"/>
      <w:r w:rsidRPr="005E200E">
        <w:rPr>
          <w:lang w:val="de-DE"/>
        </w:rPr>
        <w:t xml:space="preserve">™ Wireless Sensor Module in Zusammenarbeit mit STMicroelectronics als eine FCC-zugelassene Produktversion des </w:t>
      </w:r>
      <w:proofErr w:type="spellStart"/>
      <w:r w:rsidRPr="005E200E">
        <w:rPr>
          <w:lang w:val="de-DE"/>
        </w:rPr>
        <w:t>SensorTile</w:t>
      </w:r>
      <w:proofErr w:type="spellEnd"/>
      <w:r w:rsidRPr="005E200E">
        <w:rPr>
          <w:lang w:val="de-DE"/>
        </w:rPr>
        <w:t xml:space="preserve"> </w:t>
      </w:r>
      <w:proofErr w:type="spellStart"/>
      <w:r w:rsidRPr="005E200E">
        <w:rPr>
          <w:lang w:val="de-DE"/>
        </w:rPr>
        <w:t>Dev</w:t>
      </w:r>
      <w:proofErr w:type="spellEnd"/>
      <w:r w:rsidRPr="005E200E">
        <w:rPr>
          <w:lang w:val="de-DE"/>
        </w:rPr>
        <w:t xml:space="preserve">-Kits von ST positioniert.  Die Samtec-Lösung nutzt serienmäßige ICs und ist, ebenso wie das </w:t>
      </w:r>
      <w:proofErr w:type="spellStart"/>
      <w:r w:rsidRPr="005E200E">
        <w:rPr>
          <w:lang w:val="de-DE"/>
        </w:rPr>
        <w:t>SensorTile</w:t>
      </w:r>
      <w:proofErr w:type="spellEnd"/>
      <w:r w:rsidRPr="005E200E">
        <w:rPr>
          <w:lang w:val="de-DE"/>
        </w:rPr>
        <w:t xml:space="preserve"> von ST, über die Software STM32Cube zum STM32-Ecosystem kompatibel.  Dieser Ansatz zur Entwicklung von </w:t>
      </w:r>
      <w:proofErr w:type="spellStart"/>
      <w:r w:rsidRPr="005E200E">
        <w:rPr>
          <w:lang w:val="de-DE"/>
        </w:rPr>
        <w:t>IoT</w:t>
      </w:r>
      <w:proofErr w:type="spellEnd"/>
      <w:r w:rsidRPr="005E200E">
        <w:rPr>
          <w:lang w:val="de-DE"/>
        </w:rPr>
        <w:t xml:space="preserve">-Anwendungen versetzt OEMs in die Lage, sich auf ihre Kernkompetenzen im Bereich der </w:t>
      </w:r>
      <w:proofErr w:type="spellStart"/>
      <w:r w:rsidRPr="005E200E">
        <w:rPr>
          <w:lang w:val="de-DE"/>
        </w:rPr>
        <w:t>IoT</w:t>
      </w:r>
      <w:proofErr w:type="spellEnd"/>
      <w:r w:rsidRPr="005E200E">
        <w:rPr>
          <w:lang w:val="de-DE"/>
        </w:rPr>
        <w:t xml:space="preserve">-Applikation zu konzentrieren, während gleichzeitig die Designzyklen und die Markteinführungszeiten für die Entwickler von </w:t>
      </w:r>
      <w:proofErr w:type="spellStart"/>
      <w:r w:rsidRPr="005E200E">
        <w:rPr>
          <w:lang w:val="de-DE"/>
        </w:rPr>
        <w:t>IoT</w:t>
      </w:r>
      <w:proofErr w:type="spellEnd"/>
      <w:r w:rsidRPr="005E200E">
        <w:rPr>
          <w:lang w:val="de-DE"/>
        </w:rPr>
        <w:t xml:space="preserve">-Anwendungen verkürzt werden. </w:t>
      </w:r>
    </w:p>
    <w:p w:rsidR="00D30D7A" w:rsidRPr="005E200E" w:rsidRDefault="00D30D7A" w:rsidP="00D30D7A">
      <w:pPr>
        <w:spacing w:after="0" w:line="240" w:lineRule="auto"/>
        <w:contextualSpacing/>
        <w:mirrorIndents/>
        <w:jc w:val="both"/>
        <w:rPr>
          <w:lang w:val="de-DE"/>
        </w:rPr>
      </w:pPr>
    </w:p>
    <w:p w:rsidR="00D30D7A" w:rsidRDefault="00D30D7A" w:rsidP="00D30D7A">
      <w:pPr>
        <w:spacing w:after="0" w:line="240" w:lineRule="auto"/>
        <w:contextualSpacing/>
        <w:mirrorIndents/>
        <w:jc w:val="both"/>
        <w:rPr>
          <w:lang w:val="de-DE"/>
        </w:rPr>
      </w:pPr>
    </w:p>
    <w:p w:rsidR="00D30D7A" w:rsidRDefault="00D30D7A" w:rsidP="00D30D7A">
      <w:pPr>
        <w:spacing w:after="0" w:line="240" w:lineRule="auto"/>
        <w:contextualSpacing/>
        <w:mirrorIndents/>
        <w:jc w:val="both"/>
        <w:rPr>
          <w:lang w:val="de-DE"/>
        </w:rPr>
      </w:pPr>
    </w:p>
    <w:p w:rsidR="00D30D7A" w:rsidRDefault="00D30D7A" w:rsidP="00D30D7A">
      <w:pPr>
        <w:spacing w:after="0" w:line="240" w:lineRule="auto"/>
        <w:contextualSpacing/>
        <w:mirrorIndents/>
        <w:jc w:val="both"/>
        <w:rPr>
          <w:b/>
          <w:color w:val="222222"/>
          <w:sz w:val="28"/>
          <w:lang w:val="de-DE"/>
        </w:rPr>
      </w:pPr>
    </w:p>
    <w:p w:rsidR="00D30D7A" w:rsidRDefault="00D30D7A" w:rsidP="00D30D7A">
      <w:pPr>
        <w:spacing w:after="0" w:line="240" w:lineRule="auto"/>
        <w:contextualSpacing/>
        <w:mirrorIndents/>
        <w:jc w:val="both"/>
        <w:rPr>
          <w:b/>
          <w:color w:val="222222"/>
          <w:sz w:val="28"/>
          <w:lang w:val="de-DE"/>
        </w:rPr>
      </w:pPr>
    </w:p>
    <w:p w:rsidR="00D30D7A" w:rsidRDefault="00D30D7A" w:rsidP="00D30D7A">
      <w:pPr>
        <w:spacing w:after="0" w:line="240" w:lineRule="auto"/>
        <w:contextualSpacing/>
        <w:mirrorIndents/>
        <w:jc w:val="both"/>
        <w:rPr>
          <w:b/>
          <w:color w:val="222222"/>
          <w:sz w:val="28"/>
          <w:lang w:val="de-DE"/>
        </w:rPr>
      </w:pPr>
    </w:p>
    <w:p w:rsidR="00D30D7A" w:rsidRDefault="00D30D7A" w:rsidP="00D30D7A">
      <w:pPr>
        <w:spacing w:after="0" w:line="240" w:lineRule="auto"/>
        <w:contextualSpacing/>
        <w:mirrorIndents/>
        <w:jc w:val="both"/>
        <w:rPr>
          <w:b/>
          <w:color w:val="222222"/>
          <w:sz w:val="28"/>
          <w:lang w:val="de-DE"/>
        </w:rPr>
      </w:pPr>
    </w:p>
    <w:p w:rsidR="00D30D7A" w:rsidRDefault="00D30D7A" w:rsidP="00D30D7A">
      <w:pPr>
        <w:spacing w:after="0" w:line="240" w:lineRule="auto"/>
        <w:contextualSpacing/>
        <w:mirrorIndents/>
        <w:jc w:val="both"/>
        <w:rPr>
          <w:b/>
          <w:color w:val="222222"/>
          <w:sz w:val="28"/>
          <w:lang w:val="de-DE"/>
        </w:rPr>
      </w:pPr>
    </w:p>
    <w:p w:rsidR="00D30D7A" w:rsidRDefault="00D30D7A" w:rsidP="00D30D7A">
      <w:pPr>
        <w:spacing w:after="0" w:line="240" w:lineRule="auto"/>
        <w:contextualSpacing/>
        <w:mirrorIndents/>
        <w:jc w:val="both"/>
        <w:rPr>
          <w:b/>
          <w:color w:val="222222"/>
          <w:sz w:val="28"/>
          <w:lang w:val="de-DE"/>
        </w:rPr>
      </w:pPr>
    </w:p>
    <w:p w:rsidR="00D30D7A" w:rsidRDefault="00D30D7A" w:rsidP="00D30D7A">
      <w:pPr>
        <w:spacing w:after="0" w:line="240" w:lineRule="auto"/>
        <w:contextualSpacing/>
        <w:mirrorIndents/>
        <w:jc w:val="both"/>
        <w:rPr>
          <w:lang w:val="de-DE"/>
        </w:rPr>
      </w:pPr>
      <w:bookmarkStart w:id="0" w:name="_GoBack"/>
      <w:bookmarkEnd w:id="0"/>
      <w:proofErr w:type="spellStart"/>
      <w:r w:rsidRPr="005E200E">
        <w:rPr>
          <w:b/>
          <w:color w:val="222222"/>
          <w:sz w:val="28"/>
          <w:lang w:val="de-DE"/>
        </w:rPr>
        <w:lastRenderedPageBreak/>
        <w:t>IoT</w:t>
      </w:r>
      <w:proofErr w:type="spellEnd"/>
      <w:r w:rsidRPr="005E200E">
        <w:rPr>
          <w:b/>
          <w:color w:val="222222"/>
          <w:sz w:val="28"/>
          <w:lang w:val="de-DE"/>
        </w:rPr>
        <w:t>-Anwendungen der nächsten Generation müssen schrumpfen</w:t>
      </w:r>
    </w:p>
    <w:p w:rsidR="00D30D7A" w:rsidRDefault="00D30D7A" w:rsidP="00D30D7A">
      <w:pPr>
        <w:spacing w:after="0" w:line="240" w:lineRule="auto"/>
        <w:contextualSpacing/>
        <w:mirrorIndents/>
        <w:jc w:val="both"/>
        <w:rPr>
          <w:lang w:val="de-DE"/>
        </w:rPr>
      </w:pPr>
    </w:p>
    <w:p w:rsidR="00D30D7A" w:rsidRPr="005E200E" w:rsidRDefault="00D30D7A" w:rsidP="00D30D7A">
      <w:pPr>
        <w:spacing w:after="0" w:line="240" w:lineRule="auto"/>
        <w:contextualSpacing/>
        <w:mirrorIndents/>
        <w:jc w:val="both"/>
        <w:rPr>
          <w:lang w:val="de-DE"/>
        </w:rPr>
      </w:pPr>
      <w:r w:rsidRPr="005E200E">
        <w:rPr>
          <w:lang w:val="de-DE"/>
        </w:rPr>
        <w:t>Samtec erforscht weiter neue Anwendungen auf der Modul- und Bauelementebene, wozu auch die Verwendung von Glassubstraten in der AVT für Module und andere leistungsfähige Komponenten und Bauelemente gehört.  Dieser revolutionäre Prozess macht leistungsoptimierte und stark miniaturisierte IC-Packages und Module möglich.  Neben funkgestützten Sensormodulen scheinen auch diskrete Bauelemente wie Filter, Drosseln und Antennen machbar.</w:t>
      </w:r>
    </w:p>
    <w:p w:rsidR="00D30D7A" w:rsidRPr="005E200E" w:rsidRDefault="00D30D7A" w:rsidP="00D30D7A">
      <w:pPr>
        <w:spacing w:after="0" w:line="240" w:lineRule="auto"/>
        <w:contextualSpacing/>
        <w:mirrorIndents/>
        <w:jc w:val="both"/>
        <w:rPr>
          <w:lang w:val="de-DE"/>
        </w:rPr>
      </w:pPr>
    </w:p>
    <w:p w:rsidR="00D30D7A" w:rsidRPr="005E200E" w:rsidRDefault="00D30D7A" w:rsidP="00D30D7A">
      <w:pPr>
        <w:spacing w:after="0" w:line="240" w:lineRule="auto"/>
        <w:contextualSpacing/>
        <w:mirrorIndents/>
        <w:jc w:val="both"/>
        <w:rPr>
          <w:b/>
          <w:lang w:val="de-DE"/>
        </w:rPr>
      </w:pPr>
      <w:r w:rsidRPr="005E200E">
        <w:rPr>
          <w:b/>
          <w:lang w:val="de-DE"/>
        </w:rPr>
        <w:t>Fazit</w:t>
      </w:r>
    </w:p>
    <w:p w:rsidR="00D30D7A" w:rsidRPr="005E200E" w:rsidRDefault="00D30D7A" w:rsidP="00D30D7A">
      <w:pPr>
        <w:spacing w:after="0" w:line="240" w:lineRule="auto"/>
        <w:contextualSpacing/>
        <w:mirrorIndents/>
        <w:jc w:val="both"/>
        <w:rPr>
          <w:lang w:val="de-DE"/>
        </w:rPr>
      </w:pPr>
      <w:r w:rsidRPr="005E200E">
        <w:rPr>
          <w:lang w:val="de-DE"/>
        </w:rPr>
        <w:t xml:space="preserve">Die nächste Stufe der </w:t>
      </w:r>
      <w:proofErr w:type="spellStart"/>
      <w:r w:rsidRPr="005E200E">
        <w:rPr>
          <w:lang w:val="de-DE"/>
        </w:rPr>
        <w:t>IoT</w:t>
      </w:r>
      <w:proofErr w:type="spellEnd"/>
      <w:r w:rsidRPr="005E200E">
        <w:rPr>
          <w:lang w:val="de-DE"/>
        </w:rPr>
        <w:t xml:space="preserve">-Revolution ist bereits eingeläutet.  Die Entwickler des </w:t>
      </w:r>
      <w:proofErr w:type="spellStart"/>
      <w:r w:rsidRPr="005E200E">
        <w:rPr>
          <w:lang w:val="de-DE"/>
        </w:rPr>
        <w:t>IoT</w:t>
      </w:r>
      <w:proofErr w:type="spellEnd"/>
      <w:r w:rsidRPr="005E200E">
        <w:rPr>
          <w:lang w:val="de-DE"/>
        </w:rPr>
        <w:t xml:space="preserve"> der nächsten Generation müssen bei der Entwicklung von Produkten und Lösungen alternative Ansätze in Betracht ziehen.  Als ein aufstrebender Anbieter von </w:t>
      </w:r>
      <w:proofErr w:type="spellStart"/>
      <w:r w:rsidRPr="005E200E">
        <w:rPr>
          <w:lang w:val="de-DE"/>
        </w:rPr>
        <w:t>IoT</w:t>
      </w:r>
      <w:proofErr w:type="spellEnd"/>
      <w:r w:rsidRPr="005E200E">
        <w:rPr>
          <w:lang w:val="de-DE"/>
        </w:rPr>
        <w:t xml:space="preserve">-Lösungen bündelt Samtec </w:t>
      </w:r>
      <w:proofErr w:type="spellStart"/>
      <w:r w:rsidRPr="005E200E">
        <w:rPr>
          <w:lang w:val="de-DE"/>
        </w:rPr>
        <w:t>Microelectronics</w:t>
      </w:r>
      <w:proofErr w:type="spellEnd"/>
      <w:r w:rsidRPr="005E200E">
        <w:rPr>
          <w:lang w:val="de-DE"/>
        </w:rPr>
        <w:t xml:space="preserve"> für die Entwicklung der mikroelektronischen Lösungen der nächsten Generation seine Fähigkeiten in der komplexen Aufbau- und Verbindungstechnik, die überlegenen Eigenschaften von Glassubstraten und das HF-Design mit Signalintegrität auf Systemebene.  </w:t>
      </w:r>
      <w:proofErr w:type="spellStart"/>
      <w:r w:rsidRPr="005E200E">
        <w:rPr>
          <w:lang w:val="de-DE"/>
        </w:rPr>
        <w:t>Samtecs</w:t>
      </w:r>
      <w:proofErr w:type="spellEnd"/>
      <w:r w:rsidRPr="005E200E">
        <w:rPr>
          <w:lang w:val="de-DE"/>
        </w:rPr>
        <w:t xml:space="preserve"> innovative Produkte und Technologien von Weltklasse sind auf Leistung, Dichte und Kosten in den verschiedensten </w:t>
      </w:r>
      <w:proofErr w:type="spellStart"/>
      <w:r w:rsidRPr="005E200E">
        <w:rPr>
          <w:lang w:val="de-DE"/>
        </w:rPr>
        <w:t>IoT</w:t>
      </w:r>
      <w:proofErr w:type="spellEnd"/>
      <w:r w:rsidRPr="005E200E">
        <w:rPr>
          <w:lang w:val="de-DE"/>
        </w:rPr>
        <w:t>-Anwendungen hin optimiert.</w:t>
      </w:r>
    </w:p>
    <w:p w:rsidR="00D30D7A" w:rsidRPr="005E200E" w:rsidRDefault="00D30D7A" w:rsidP="00D30D7A">
      <w:pPr>
        <w:spacing w:after="0" w:line="240" w:lineRule="auto"/>
        <w:contextualSpacing/>
        <w:mirrorIndents/>
        <w:jc w:val="both"/>
        <w:rPr>
          <w:b/>
          <w:lang w:val="de-DE"/>
        </w:rPr>
      </w:pPr>
    </w:p>
    <w:p w:rsidR="00D30D7A" w:rsidRPr="005E200E" w:rsidRDefault="00D30D7A" w:rsidP="00D30D7A">
      <w:pPr>
        <w:spacing w:after="0" w:line="240" w:lineRule="auto"/>
        <w:contextualSpacing/>
        <w:mirrorIndents/>
        <w:jc w:val="both"/>
        <w:rPr>
          <w:lang w:val="de-DE"/>
        </w:rPr>
      </w:pPr>
      <w:r w:rsidRPr="005E200E">
        <w:rPr>
          <w:lang w:val="de-DE"/>
        </w:rPr>
        <w:t>Hintergrund des Autors:</w:t>
      </w:r>
    </w:p>
    <w:p w:rsidR="00D30D7A" w:rsidRPr="005E200E" w:rsidRDefault="00D30D7A" w:rsidP="00D30D7A">
      <w:pPr>
        <w:spacing w:after="0" w:line="240" w:lineRule="auto"/>
        <w:contextualSpacing/>
        <w:mirrorIndents/>
        <w:jc w:val="both"/>
        <w:rPr>
          <w:lang w:val="de-DE"/>
        </w:rPr>
      </w:pPr>
      <w:r w:rsidRPr="005E200E">
        <w:rPr>
          <w:i/>
          <w:shd w:val="clear" w:color="auto" w:fill="FFFFFF"/>
          <w:lang w:val="de-DE"/>
        </w:rPr>
        <w:t xml:space="preserve">Matt Burns ist der Manager Produktmarketing bei Samtec. Er entwickelt Strategien für die Markteinführung von </w:t>
      </w:r>
      <w:proofErr w:type="spellStart"/>
      <w:r w:rsidRPr="005E200E">
        <w:rPr>
          <w:i/>
          <w:shd w:val="clear" w:color="auto" w:fill="FFFFFF"/>
          <w:lang w:val="de-DE"/>
        </w:rPr>
        <w:t>Samtecs</w:t>
      </w:r>
      <w:proofErr w:type="spellEnd"/>
      <w:r w:rsidRPr="005E200E">
        <w:rPr>
          <w:i/>
          <w:shd w:val="clear" w:color="auto" w:fill="FFFFFF"/>
          <w:lang w:val="de-DE"/>
        </w:rPr>
        <w:t xml:space="preserve"> Lösungen im Bereich Silizium-</w:t>
      </w:r>
      <w:proofErr w:type="spellStart"/>
      <w:r w:rsidRPr="005E200E">
        <w:rPr>
          <w:i/>
          <w:shd w:val="clear" w:color="auto" w:fill="FFFFFF"/>
          <w:lang w:val="de-DE"/>
        </w:rPr>
        <w:t>Direktbonden</w:t>
      </w:r>
      <w:proofErr w:type="spellEnd"/>
      <w:r w:rsidRPr="005E200E">
        <w:rPr>
          <w:i/>
          <w:shd w:val="clear" w:color="auto" w:fill="FFFFFF"/>
          <w:lang w:val="de-DE"/>
        </w:rPr>
        <w:t xml:space="preserve"> und hat sich im Verlauf der letzten 18 Jahre als führende Kraft im Design, im technischen Vertrieb und im Marketing in den Branchen Telekommunikation, Medizintechnik und Elektronik bewährt. Matt Burns hat seinen Bachelor-Abschluss in Elektrotechnik an der Penn State University gemacht.</w:t>
      </w:r>
    </w:p>
    <w:p w:rsidR="00D30D7A" w:rsidRDefault="00D30D7A" w:rsidP="00D30D7A">
      <w:pPr>
        <w:widowControl w:val="0"/>
        <w:autoSpaceDE w:val="0"/>
        <w:autoSpaceDN w:val="0"/>
        <w:adjustRightInd w:val="0"/>
        <w:spacing w:after="0"/>
        <w:rPr>
          <w:b/>
          <w:bCs/>
          <w:lang w:val="de-DE"/>
        </w:rPr>
      </w:pPr>
    </w:p>
    <w:p w:rsidR="00D30D7A" w:rsidRPr="00707C42" w:rsidRDefault="00D30D7A" w:rsidP="00D30D7A">
      <w:pPr>
        <w:widowControl w:val="0"/>
        <w:autoSpaceDE w:val="0"/>
        <w:autoSpaceDN w:val="0"/>
        <w:adjustRightInd w:val="0"/>
        <w:spacing w:after="0"/>
        <w:rPr>
          <w:rFonts w:cs="Times"/>
          <w:b/>
          <w:bCs/>
          <w:u w:val="single"/>
          <w:lang w:val="de-DE"/>
        </w:rPr>
      </w:pPr>
      <w:r w:rsidRPr="00707C42">
        <w:rPr>
          <w:b/>
          <w:bCs/>
          <w:u w:val="single"/>
          <w:lang w:val="de-DE"/>
        </w:rPr>
        <w:t>KONTAKT</w:t>
      </w:r>
    </w:p>
    <w:p w:rsidR="00D30D7A" w:rsidRPr="001B5E79" w:rsidRDefault="00D30D7A" w:rsidP="00D30D7A">
      <w:pPr>
        <w:widowControl w:val="0"/>
        <w:autoSpaceDE w:val="0"/>
        <w:autoSpaceDN w:val="0"/>
        <w:adjustRightInd w:val="0"/>
        <w:spacing w:after="0"/>
        <w:rPr>
          <w:color w:val="FF0000"/>
          <w:lang w:val="de-DE"/>
        </w:rPr>
      </w:pPr>
      <w:r w:rsidRPr="001B5E79">
        <w:rPr>
          <w:lang w:val="de-DE"/>
        </w:rPr>
        <w:t>Matt Burns</w:t>
      </w:r>
    </w:p>
    <w:p w:rsidR="00D30D7A" w:rsidRPr="00707C42" w:rsidRDefault="00D30D7A" w:rsidP="00D30D7A">
      <w:pPr>
        <w:widowControl w:val="0"/>
        <w:autoSpaceDE w:val="0"/>
        <w:autoSpaceDN w:val="0"/>
        <w:adjustRightInd w:val="0"/>
        <w:spacing w:after="0"/>
        <w:rPr>
          <w:color w:val="FF9933"/>
          <w:lang w:val="de-DE"/>
        </w:rPr>
      </w:pPr>
      <w:hyperlink r:id="rId12" w:history="1">
        <w:r w:rsidRPr="00707C42">
          <w:rPr>
            <w:rStyle w:val="Hyperlink"/>
            <w:color w:val="FF9933"/>
            <w:lang w:val="de-DE"/>
          </w:rPr>
          <w:t>matthew.burns@samtec.com</w:t>
        </w:r>
      </w:hyperlink>
    </w:p>
    <w:p w:rsidR="00D30D7A" w:rsidRPr="000016F6" w:rsidRDefault="00D30D7A" w:rsidP="00D30D7A">
      <w:pPr>
        <w:widowControl w:val="0"/>
        <w:autoSpaceDE w:val="0"/>
        <w:autoSpaceDN w:val="0"/>
        <w:adjustRightInd w:val="0"/>
        <w:spacing w:after="0"/>
        <w:rPr>
          <w:rFonts w:cs="Times"/>
        </w:rPr>
      </w:pPr>
      <w:r>
        <w:t>+1 812-944-6733</w:t>
      </w:r>
    </w:p>
    <w:p w:rsidR="00D30D7A" w:rsidRPr="00D267B7" w:rsidRDefault="00D30D7A" w:rsidP="00D30D7A">
      <w:pPr>
        <w:spacing w:after="240"/>
        <w:jc w:val="both"/>
        <w:rPr>
          <w:b/>
          <w:sz w:val="32"/>
          <w:szCs w:val="32"/>
          <w:lang w:val="de-DE"/>
        </w:rPr>
      </w:pPr>
    </w:p>
    <w:p w:rsidR="00497954" w:rsidRDefault="00D30D7A"/>
    <w:sectPr w:rsidR="004979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E366B"/>
    <w:multiLevelType w:val="hybridMultilevel"/>
    <w:tmpl w:val="B620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2F38"/>
    <w:multiLevelType w:val="hybridMultilevel"/>
    <w:tmpl w:val="7C94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99"/>
    <w:multiLevelType w:val="hybridMultilevel"/>
    <w:tmpl w:val="3E80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600F2"/>
    <w:multiLevelType w:val="hybridMultilevel"/>
    <w:tmpl w:val="070A7AF8"/>
    <w:lvl w:ilvl="0" w:tplc="6A26CF0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7A"/>
    <w:rsid w:val="00107227"/>
    <w:rsid w:val="00A10BCA"/>
    <w:rsid w:val="00BA7511"/>
    <w:rsid w:val="00C31AF8"/>
    <w:rsid w:val="00D30D7A"/>
    <w:rsid w:val="00EF5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1814"/>
  <w15:chartTrackingRefBased/>
  <w15:docId w15:val="{F431F539-5196-4832-B92B-8B75367D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0D7A"/>
    <w:pPr>
      <w:spacing w:after="200" w:line="276" w:lineRule="auto"/>
    </w:pPr>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30D7A"/>
    <w:rPr>
      <w:color w:val="0000FF"/>
      <w:u w:val="single"/>
    </w:rPr>
  </w:style>
  <w:style w:type="paragraph" w:styleId="Listenabsatz">
    <w:name w:val="List Paragraph"/>
    <w:basedOn w:val="Standard"/>
    <w:uiPriority w:val="34"/>
    <w:qFormat/>
    <w:rsid w:val="00D30D7A"/>
    <w:pPr>
      <w:ind w:left="720"/>
      <w:contextualSpacing/>
    </w:pPr>
    <w:rPr>
      <w:lang w:val="de-DE"/>
    </w:rPr>
  </w:style>
  <w:style w:type="paragraph" w:styleId="Beschriftung">
    <w:name w:val="caption"/>
    <w:basedOn w:val="Standard"/>
    <w:next w:val="Standard"/>
    <w:uiPriority w:val="35"/>
    <w:unhideWhenUsed/>
    <w:qFormat/>
    <w:rsid w:val="00D30D7A"/>
    <w:pPr>
      <w:spacing w:line="240" w:lineRule="auto"/>
    </w:pPr>
    <w:rPr>
      <w:b/>
      <w:bCs/>
      <w:color w:val="4F81BD"/>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matthew.burns@sam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12706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Prediger</dc:creator>
  <cp:keywords/>
  <dc:description/>
  <cp:lastModifiedBy>Verena Prediger</cp:lastModifiedBy>
  <cp:revision>1</cp:revision>
  <dcterms:created xsi:type="dcterms:W3CDTF">2018-10-26T07:22:00Z</dcterms:created>
  <dcterms:modified xsi:type="dcterms:W3CDTF">2018-10-26T07:23:00Z</dcterms:modified>
</cp:coreProperties>
</file>