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57396" w14:textId="77777777" w:rsidR="00166535" w:rsidRDefault="008359E5" w:rsidP="003A4887">
      <w:pPr>
        <w:spacing w:after="50" w:line="240" w:lineRule="auto"/>
      </w:pPr>
      <w:r>
        <w:rPr>
          <w:noProof/>
          <w:sz w:val="18"/>
        </w:rPr>
        <mc:AlternateContent>
          <mc:Choice Requires="wps">
            <w:drawing>
              <wp:anchor distT="45720" distB="45720" distL="114300" distR="114300" simplePos="0" relativeHeight="251660288" behindDoc="0" locked="0" layoutInCell="1" allowOverlap="1" wp14:anchorId="35C20A7B" wp14:editId="2E9376B6">
                <wp:simplePos x="0" y="0"/>
                <wp:positionH relativeFrom="column">
                  <wp:posOffset>2623820</wp:posOffset>
                </wp:positionH>
                <wp:positionV relativeFrom="paragraph">
                  <wp:posOffset>1270</wp:posOffset>
                </wp:positionV>
                <wp:extent cx="3173730" cy="462915"/>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730" cy="462915"/>
                        </a:xfrm>
                        <a:prstGeom prst="rect">
                          <a:avLst/>
                        </a:prstGeom>
                        <a:solidFill>
                          <a:srgbClr val="FFFFFF"/>
                        </a:solidFill>
                        <a:ln w="12700">
                          <a:noFill/>
                          <a:miter lim="800000"/>
                          <a:headEnd/>
                          <a:tailEnd/>
                        </a:ln>
                      </wps:spPr>
                      <wps:txbx>
                        <w:txbxContent>
                          <w:p w14:paraId="024C1CA7" w14:textId="77777777" w:rsidR="008359E5" w:rsidRDefault="008359E5" w:rsidP="00442C97">
                            <w:pPr>
                              <w:pStyle w:val="PressRelease"/>
                              <w:pBdr>
                                <w:top w:val="single" w:sz="12" w:space="2" w:color="FFB40D"/>
                                <w:bottom w:val="single" w:sz="12" w:space="2" w:color="FFB40D"/>
                              </w:pBdr>
                            </w:pPr>
                            <w:r>
                              <w:t>Pressemitteilung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C20A7B" id="_x0000_t202" coordsize="21600,21600" o:spt="202" path="m,l,21600r21600,l21600,xe">
                <v:stroke joinstyle="miter"/>
                <v:path gradientshapeok="t" o:connecttype="rect"/>
              </v:shapetype>
              <v:shape id="Text Box 2" o:spid="_x0000_s1026" type="#_x0000_t202" style="position:absolute;margin-left:206.6pt;margin-top:.1pt;width:249.9pt;height:36.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" stroked="f" strokeweight="1pt">
                <v:textbox>
                  <w:txbxContent>
                    <w:p w14:paraId="024C1CA7" w14:textId="77777777" w:rsidR="008359E5" w:rsidRDefault="008359E5" w:rsidP="00442C97">
                      <w:pPr>
                        <w:pStyle w:val="PressRelease"/>
                        <w:pBdr>
                          <w:top w:val="single" w:sz="12" w:space="2" w:color="FFB40D"/>
                          <w:bottom w:val="single" w:sz="12" w:space="2" w:color="FFB40D"/>
                        </w:pBdr>
                      </w:pPr>
                      <w:r>
                        <w:t>Pressemitteilung</w:t>
                      </w:r>
                    </w:p>
                  </w:txbxContent>
                </v:textbox>
                <w10:wrap type="square"/>
              </v:shape>
            </w:pict>
          </mc:Fallback>
        </mc:AlternateContent>
      </w:r>
      <w:r w:rsidR="00BF03BF">
        <w:rPr>
          <w:noProof/>
          <w:sz w:val="18"/>
        </w:rPr>
        <w:drawing>
          <wp:anchor distT="0" distB="0" distL="114300" distR="114300" simplePos="0" relativeHeight="251658240" behindDoc="0" locked="1" layoutInCell="1" allowOverlap="1" wp14:anchorId="076EFB78" wp14:editId="157A0F39">
            <wp:simplePos x="0" y="0"/>
            <wp:positionH relativeFrom="column">
              <wp:posOffset>-635</wp:posOffset>
            </wp:positionH>
            <wp:positionV relativeFrom="page">
              <wp:posOffset>647700</wp:posOffset>
            </wp:positionV>
            <wp:extent cx="1800000" cy="406800"/>
            <wp:effectExtent l="0" t="0" r="0" b="0"/>
            <wp:wrapTopAndBottom/>
            <wp:docPr id="17623624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62485" name="Graphic 1762362485"/>
                    <pic:cNvPicPr/>
                  </pic:nvPicPr>
                  <pic:blipFill>
                    <a:blip r:embed="rId7">
                      <a:extLst>
                        <a:ext uri="{96DAC541-7B7A-43D3-8B79-37D633B846F1}">
                          <asvg:svgBlip xmlns:asvg="http://schemas.microsoft.com/office/drawing/2016/SVG/main" r:embed="rId8"/>
                        </a:ext>
                      </a:extLst>
                    </a:blip>
                    <a:stretch>
                      <a:fillRect/>
                    </a:stretch>
                  </pic:blipFill>
                  <pic:spPr>
                    <a:xfrm>
                      <a:off x="0" y="0"/>
                      <a:ext cx="1800000" cy="406800"/>
                    </a:xfrm>
                    <a:prstGeom prst="rect">
                      <a:avLst/>
                    </a:prstGeom>
                  </pic:spPr>
                </pic:pic>
              </a:graphicData>
            </a:graphic>
            <wp14:sizeRelH relativeFrom="margin">
              <wp14:pctWidth>0</wp14:pctWidth>
            </wp14:sizeRelH>
            <wp14:sizeRelV relativeFrom="margin">
              <wp14:pctHeight>0</wp14:pctHeight>
            </wp14:sizeRelV>
          </wp:anchor>
        </w:drawing>
      </w:r>
    </w:p>
    <w:p w14:paraId="430FFD96" w14:textId="77777777" w:rsidR="00F459A9" w:rsidRPr="00D43C04" w:rsidRDefault="00F459A9" w:rsidP="000006B5">
      <w:pPr>
        <w:pStyle w:val="Release"/>
        <w:rPr>
          <w:lang w:val="de-DE"/>
        </w:rPr>
      </w:pPr>
      <w:r w:rsidRPr="00D43C04">
        <w:rPr>
          <w:lang w:val="de-DE"/>
        </w:rPr>
        <w:t>Zur sofortigen Veröffentlichung</w:t>
      </w:r>
    </w:p>
    <w:p w14:paraId="3ED74789" w14:textId="77777777" w:rsidR="00040277" w:rsidRDefault="00040277" w:rsidP="00270CCF">
      <w:pPr>
        <w:pStyle w:val="Title"/>
        <w:rPr>
          <w:lang w:val="de-DE"/>
        </w:rPr>
      </w:pPr>
    </w:p>
    <w:p w14:paraId="578030E4" w14:textId="73883541" w:rsidR="00270CCF" w:rsidRPr="00D43C04" w:rsidRDefault="00270CCF" w:rsidP="00270CCF">
      <w:pPr>
        <w:pStyle w:val="Title"/>
        <w:rPr>
          <w:lang w:val="de-DE"/>
        </w:rPr>
      </w:pPr>
      <w:r w:rsidRPr="00D43C04">
        <w:rPr>
          <w:lang w:val="de-DE"/>
        </w:rPr>
        <w:t>AA Frequency Solutions stellt ultra</w:t>
      </w:r>
      <w:r w:rsidR="00892B75">
        <w:rPr>
          <w:lang w:val="de-DE"/>
        </w:rPr>
        <w:t xml:space="preserve"> </w:t>
      </w:r>
      <w:r w:rsidRPr="00D43C04">
        <w:rPr>
          <w:lang w:val="de-DE"/>
        </w:rPr>
        <w:t>kleinen TCXO für platzsparende Präzisions-Taktanwendungen vor</w:t>
      </w:r>
    </w:p>
    <w:p w14:paraId="6BE08D04" w14:textId="63E01CB9" w:rsidR="00EB1E70" w:rsidRPr="00D43C04" w:rsidRDefault="00EB1E70" w:rsidP="00270CCF">
      <w:pPr>
        <w:spacing w:after="50" w:line="240" w:lineRule="auto"/>
        <w:rPr>
          <w:szCs w:val="20"/>
          <w:lang w:val="de-DE"/>
        </w:rPr>
      </w:pPr>
      <w:r w:rsidRPr="00D43C04">
        <w:rPr>
          <w:szCs w:val="20"/>
          <w:lang w:val="de-DE"/>
        </w:rPr>
        <w:t>London, Vereinigtes Königreich; 12. November 2026 – AA Frequency Solutions hat den neuen AATC1051 vorgestellt, einen ultrakleinen temperaturkompensierten Quarzoszillator (TCXO), der stabile Frequenz</w:t>
      </w:r>
      <w:r w:rsidR="00040277">
        <w:rPr>
          <w:szCs w:val="20"/>
          <w:lang w:val="de-DE"/>
        </w:rPr>
        <w:t>-</w:t>
      </w:r>
      <w:r w:rsidRPr="00D43C04">
        <w:rPr>
          <w:szCs w:val="20"/>
          <w:lang w:val="de-DE"/>
        </w:rPr>
        <w:t>referenzen in kompakten, energieeffizienten elektronischen Systemen bereitstellt.</w:t>
      </w:r>
    </w:p>
    <w:p w14:paraId="3B277DAC" w14:textId="77777777" w:rsidR="00D43C04" w:rsidRPr="00D43C04" w:rsidRDefault="00387911" w:rsidP="00270CCF">
      <w:pPr>
        <w:spacing w:after="50" w:line="240" w:lineRule="auto"/>
        <w:rPr>
          <w:szCs w:val="20"/>
          <w:lang w:val="de-DE"/>
        </w:rPr>
      </w:pPr>
      <w:r w:rsidRPr="00D43C04">
        <w:rPr>
          <w:b/>
          <w:bCs/>
          <w:szCs w:val="20"/>
          <w:lang w:val="de-DE"/>
        </w:rPr>
        <w:t>Mit nur 1,6</w:t>
      </w:r>
      <w:r w:rsidR="00270CCF" w:rsidRPr="00D43C04">
        <w:rPr>
          <w:b/>
          <w:bCs/>
          <w:szCs w:val="20"/>
          <w:lang w:val="de-DE"/>
        </w:rPr>
        <w:t xml:space="preserve"> × </w:t>
      </w:r>
      <w:r w:rsidRPr="00D43C04">
        <w:rPr>
          <w:b/>
          <w:bCs/>
          <w:szCs w:val="20"/>
          <w:lang w:val="de-DE"/>
        </w:rPr>
        <w:t>1,2 mm</w:t>
      </w:r>
      <w:r w:rsidRPr="00D43C04">
        <w:rPr>
          <w:szCs w:val="20"/>
          <w:lang w:val="de-DE"/>
        </w:rPr>
        <w:t xml:space="preserve"> </w:t>
      </w:r>
      <w:r w:rsidRPr="00D43C04">
        <w:rPr>
          <w:b/>
          <w:bCs/>
          <w:szCs w:val="20"/>
          <w:lang w:val="de-DE"/>
        </w:rPr>
        <w:t>und einer Bauhöhe von nur 0,45 mm</w:t>
      </w:r>
      <w:r w:rsidRPr="00D43C04">
        <w:rPr>
          <w:szCs w:val="20"/>
          <w:lang w:val="de-DE"/>
        </w:rPr>
        <w:t xml:space="preserve"> kombiniert der AATC1051 ein ultrakompaktes, nahtversiegeltes Gehäuse mit geringem Stromverbrauch und niedrigem Phasenrauschen. </w:t>
      </w:r>
    </w:p>
    <w:p w14:paraId="624F7D64" w14:textId="570A2482" w:rsidR="00F824BB" w:rsidRPr="00D43C04" w:rsidRDefault="00387911" w:rsidP="00270CCF">
      <w:pPr>
        <w:spacing w:after="50" w:line="240" w:lineRule="auto"/>
        <w:rPr>
          <w:szCs w:val="20"/>
          <w:lang w:val="de-DE"/>
        </w:rPr>
      </w:pPr>
      <w:r w:rsidRPr="00D43C04">
        <w:rPr>
          <w:szCs w:val="20"/>
          <w:lang w:val="de-DE"/>
        </w:rPr>
        <w:t xml:space="preserve">Er deckt einen Frequenzbereich von 10 MHz bis 52 MHz ab und bietet </w:t>
      </w:r>
      <w:r w:rsidRPr="00D43C04">
        <w:rPr>
          <w:b/>
          <w:bCs/>
          <w:szCs w:val="20"/>
          <w:lang w:val="de-DE"/>
        </w:rPr>
        <w:t>eine Frequenzstabilität von ±0,5 ppm</w:t>
      </w:r>
      <w:r w:rsidRPr="00D43C04">
        <w:rPr>
          <w:szCs w:val="20"/>
          <w:lang w:val="de-DE"/>
        </w:rPr>
        <w:t xml:space="preserve"> über einen Betriebstemperaturbereich von −40 bis 85 °C. Das typische Phasenrauschen beträgt −114 dBc/Hz bei 100 Hz, −131 dBc/Hz bei 1 kHz und −148 dBc/Hz bei 10 kHz Offset.</w:t>
      </w:r>
    </w:p>
    <w:p w14:paraId="212BD4AE" w14:textId="77777777" w:rsidR="00310574" w:rsidRDefault="000C06B0">
      <w:pPr>
        <w:keepNext/>
        <w:spacing w:after="50" w:line="240" w:lineRule="auto"/>
        <w:jc w:val="center"/>
      </w:pPr>
      <w:r>
        <w:rPr>
          <w:noProof/>
          <w:sz w:val="18"/>
        </w:rPr>
        <w:drawing>
          <wp:inline distT="0" distB="0" distL="0" distR="0" wp14:anchorId="29894BBE" wp14:editId="52753C0F">
            <wp:extent cx="3160242" cy="2108200"/>
            <wp:effectExtent l="0" t="0" r="2540" b="6350"/>
            <wp:docPr id="1762362486" name="Picture 176236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 AATC1051 smallest TCXO.png"/>
                    <pic:cNvPicPr/>
                  </pic:nvPicPr>
                  <pic:blipFill>
                    <a:blip r:embed="rId9"/>
                    <a:stretch>
                      <a:fillRect/>
                    </a:stretch>
                  </pic:blipFill>
                  <pic:spPr>
                    <a:xfrm>
                      <a:off x="0" y="0"/>
                      <a:ext cx="3166475" cy="2112358"/>
                    </a:xfrm>
                    <a:prstGeom prst="rect">
                      <a:avLst/>
                    </a:prstGeom>
                  </pic:spPr>
                </pic:pic>
              </a:graphicData>
            </a:graphic>
          </wp:inline>
        </w:drawing>
      </w:r>
    </w:p>
    <w:p w14:paraId="0F696FD6" w14:textId="183D500F" w:rsidR="00E53D91" w:rsidRPr="00D43C04" w:rsidRDefault="00E53D91" w:rsidP="00E53D91">
      <w:pPr>
        <w:rPr>
          <w:lang w:val="de-DE"/>
        </w:rPr>
      </w:pPr>
      <w:r w:rsidRPr="00D43C04">
        <w:rPr>
          <w:lang w:val="de-DE"/>
        </w:rPr>
        <w:t>D</w:t>
      </w:r>
      <w:r w:rsidR="00D43C04">
        <w:rPr>
          <w:lang w:val="de-DE"/>
        </w:rPr>
        <w:t>as Bauteil</w:t>
      </w:r>
      <w:r w:rsidRPr="00D43C04">
        <w:rPr>
          <w:lang w:val="de-DE"/>
        </w:rPr>
        <w:t xml:space="preserve"> unterstützt Versorgungsspannungen von 1,8 V, 2,5 V und 3,3 V (±5 %), bei einem maximalen Eingangsstrom von 2,5 mA und einer Anlaufzeit von bis zu 2 ms. Sein begrenzter Sinuswellenausgang (Clipped Sine) und die kompakte Bauform machen ihn zu einer praktischen Taktgeberlösung, wenn Leiterplattenfläche, Stromverbrauch und Frequenzstabilität wichtige Designkriterien sind. Der AATC1051 wird in Gurtverpackung mit 3.000 Stück pro Rolle geliefert und ist RoHS-konform.</w:t>
      </w:r>
    </w:p>
    <w:p w14:paraId="5AF4293A" w14:textId="77777777" w:rsidR="00E53D91" w:rsidRPr="00D43C04" w:rsidRDefault="00E53D91" w:rsidP="00E53D91">
      <w:pPr>
        <w:rPr>
          <w:lang w:val="de-DE"/>
        </w:rPr>
      </w:pPr>
      <w:r w:rsidRPr="00D43C04">
        <w:rPr>
          <w:lang w:val="de-DE"/>
        </w:rPr>
        <w:t>Typische Anwendungsbereiche für TCXOs dieser Klasse sind drahtlose Kommunikationsgeräte und HF-Module, mobile und tragbare Elektronik, GNSS- und Navigationsempfänger, IoT- und industrielle Telemetriegeräte sowie tragbare Prüf- und Messinstrumente. In solchen Systemen kann eine temperaturkompensierte Referenz dazu beitragen, die Frequenzgenauigkeit bei wechselnden Betriebsbedingungen aufrechtzuerhalten. Die endgültige Eignung hängt von der erforderlichen Ausgangsschnittstelle, Frequenz, Stabilität und dem Systemdesign ab.</w:t>
      </w:r>
    </w:p>
    <w:p w14:paraId="63DE70A8" w14:textId="77777777" w:rsidR="00E53D91" w:rsidRPr="00D43C04" w:rsidRDefault="00E53D91" w:rsidP="00E53D91">
      <w:pPr>
        <w:rPr>
          <w:b/>
          <w:bCs/>
          <w:lang w:val="de-DE"/>
        </w:rPr>
      </w:pPr>
      <w:r w:rsidRPr="00D43C04">
        <w:rPr>
          <w:lang w:val="de-DE"/>
        </w:rPr>
        <w:t xml:space="preserve">„Von Entwicklern wird zunehmend erwartet, mehr Funktionen in immer kompakteren elektronischen Plattformen unterzubringen, ohne dabei Abstriche bei der Timing-Performance zu machen. Der AATC1051 erfüllt diesen Bedarf mit einem sehr kleinen Gehäuse, geringem Stromverbrauch und einer Frequenzstabilität von ±0,5 ppm. Damit bietet er Ingenieuren eine weitere Option für platzsparende Kommunikations-, Mobil- und Messanwendungen“, </w:t>
      </w:r>
      <w:r w:rsidRPr="00D43C04">
        <w:rPr>
          <w:b/>
          <w:bCs/>
          <w:lang w:val="de-DE"/>
        </w:rPr>
        <w:t>sagte Anke Allen, Managing Director von AA Frequency Solutions.</w:t>
      </w:r>
    </w:p>
    <w:p w14:paraId="6794CE05" w14:textId="77777777" w:rsidR="00E53D91" w:rsidRPr="00D43C04" w:rsidRDefault="00E53D91" w:rsidP="00E53D91">
      <w:pPr>
        <w:rPr>
          <w:color w:val="595959" w:themeColor="text1" w:themeTint="A6"/>
          <w:lang w:val="de-DE"/>
        </w:rPr>
      </w:pPr>
      <w:r w:rsidRPr="00D43C04">
        <w:rPr>
          <w:lang w:val="de-DE"/>
        </w:rPr>
        <w:t xml:space="preserve">Weitere Informationen zum AATC1051 und zum Produktportfolio von AA Frequency Solutions erhalten Sie am </w:t>
      </w:r>
      <w:r w:rsidRPr="00D43C04">
        <w:rPr>
          <w:b/>
          <w:bCs/>
          <w:lang w:val="de-DE"/>
        </w:rPr>
        <w:t>Stand 439 in Halle A6 auf der electronica 2026</w:t>
      </w:r>
      <w:r w:rsidRPr="00D43C04">
        <w:rPr>
          <w:lang w:val="de-DE"/>
        </w:rPr>
        <w:t xml:space="preserve"> sowie unter </w:t>
      </w:r>
      <w:hyperlink r:id="rId10" w:history="1">
        <w:r w:rsidRPr="00D43C04">
          <w:rPr>
            <w:rStyle w:val="Hyperlink"/>
            <w:b/>
            <w:bCs/>
            <w:szCs w:val="20"/>
            <w:lang w:val="de-DE"/>
          </w:rPr>
          <w:t>www.aafrequencysolutions.com</w:t>
        </w:r>
      </w:hyperlink>
      <w:r w:rsidRPr="00D43C04">
        <w:rPr>
          <w:color w:val="595959" w:themeColor="text1" w:themeTint="A6"/>
          <w:lang w:val="de-DE"/>
        </w:rPr>
        <w:t>.</w:t>
      </w:r>
    </w:p>
    <w:p w14:paraId="3B93E5B6" w14:textId="77777777" w:rsidR="00241DF8" w:rsidRPr="00D43C04" w:rsidRDefault="00241DF8" w:rsidP="00E53D91">
      <w:pPr>
        <w:rPr>
          <w:color w:val="595959" w:themeColor="text1" w:themeTint="A6"/>
          <w:lang w:val="de-DE"/>
        </w:rPr>
      </w:pPr>
    </w:p>
    <w:p w14:paraId="52B092B9" w14:textId="77777777" w:rsidR="00E53D91" w:rsidRPr="00D43C04" w:rsidRDefault="00E53D91" w:rsidP="00E53D91">
      <w:pPr>
        <w:pStyle w:val="Ends"/>
        <w:rPr>
          <w:lang w:val="de-DE"/>
        </w:rPr>
      </w:pPr>
      <w:r w:rsidRPr="00D43C04">
        <w:rPr>
          <w:lang w:val="de-DE"/>
        </w:rPr>
        <w:t>###</w:t>
      </w:r>
    </w:p>
    <w:p w14:paraId="5AF9952D" w14:textId="77777777" w:rsidR="00E53D91" w:rsidRPr="00D43C04" w:rsidRDefault="00E53D91" w:rsidP="00E53D91">
      <w:pPr>
        <w:pStyle w:val="Heading3"/>
        <w:rPr>
          <w:lang w:val="de-DE"/>
        </w:rPr>
      </w:pPr>
      <w:r w:rsidRPr="00D43C04">
        <w:rPr>
          <w:lang w:val="de-DE"/>
        </w:rPr>
        <w:lastRenderedPageBreak/>
        <w:t>Hinweis für Redaktionen</w:t>
      </w:r>
    </w:p>
    <w:p w14:paraId="33DCD49D" w14:textId="77777777" w:rsidR="00E53D91" w:rsidRPr="00D43C04" w:rsidRDefault="00E53D91" w:rsidP="00E53D91">
      <w:pPr>
        <w:pStyle w:val="NotesMedia"/>
        <w:rPr>
          <w:lang w:val="de-DE"/>
        </w:rPr>
      </w:pPr>
      <w:r w:rsidRPr="00D43C04">
        <w:rPr>
          <w:lang w:val="de-DE"/>
        </w:rPr>
        <w:t>AA Frequency Solutions ist ein Spezialanbieter für Frequenzsteuerungs- und Timing-Produkte, darunter Quarzkristalle, Taktoszillatoren, TCXOs, VCXOs, OCXOs und SAW-Filter. Das Unternehmen bietet Frequenzsteuerungslösungen für Anwendungen, bei denen Frequenzstabilität, geringes Phasenrauschen und präzise Synchronisation entscheidend sind. Zu den Märkten zählen Telekommunikation und 5G-Infrastruktur, drahtlose Kommunikation, Rechenzentren, Netzwerktechnik, HF- und Mikrowellensysteme, Industrieelektronik sowie weitere Hochleistungselektronikanwendungen.</w:t>
      </w:r>
    </w:p>
    <w:p w14:paraId="39D548C7" w14:textId="77777777" w:rsidR="00E53D91" w:rsidRPr="00D43C04" w:rsidRDefault="00E53D91" w:rsidP="00E53D91">
      <w:pPr>
        <w:pStyle w:val="Heading3"/>
        <w:rPr>
          <w:lang w:val="de-DE"/>
        </w:rPr>
      </w:pPr>
      <w:r w:rsidRPr="00D43C04">
        <w:rPr>
          <w:lang w:val="de-DE"/>
        </w:rPr>
        <w:t>Presse &amp; Anfragen</w:t>
      </w:r>
    </w:p>
    <w:p w14:paraId="4655C78B" w14:textId="77777777" w:rsidR="00E53D91" w:rsidRPr="00D43C04" w:rsidRDefault="00E53D91" w:rsidP="00E53D91">
      <w:pPr>
        <w:pStyle w:val="NotesMedia"/>
        <w:rPr>
          <w:lang w:val="de-DE"/>
        </w:rPr>
      </w:pPr>
      <w:r w:rsidRPr="00D43C04">
        <w:rPr>
          <w:lang w:val="de-DE"/>
        </w:rPr>
        <w:t>AA Frequency Solutions Ltd</w:t>
      </w:r>
      <w:r w:rsidRPr="00D43C04">
        <w:rPr>
          <w:lang w:val="de-DE"/>
        </w:rPr>
        <w:br/>
        <w:t>71-75 Shelton Street, Covent Garden, London WC2H 9JQ, Vereinigtes Königreich</w:t>
      </w:r>
      <w:r w:rsidRPr="00D43C04">
        <w:rPr>
          <w:lang w:val="de-DE"/>
        </w:rPr>
        <w:br/>
        <w:t>Tel.: +44 (0)20 3540 4285</w:t>
      </w:r>
      <w:r w:rsidRPr="00D43C04">
        <w:rPr>
          <w:lang w:val="de-DE"/>
        </w:rPr>
        <w:br/>
        <w:t>E-Mail: info@aafrequencysolutions.com</w:t>
      </w:r>
      <w:r w:rsidRPr="00D43C04">
        <w:rPr>
          <w:lang w:val="de-DE"/>
        </w:rPr>
        <w:br/>
        <w:t>Website:</w:t>
      </w:r>
      <w:r w:rsidRPr="00D43C04">
        <w:rPr>
          <w:b/>
          <w:lang w:val="de-DE"/>
        </w:rPr>
        <w:t xml:space="preserve"> </w:t>
      </w:r>
      <w:hyperlink r:id="rId11" w:history="1">
        <w:r w:rsidRPr="00D43C04">
          <w:rPr>
            <w:rStyle w:val="Hyperlink"/>
            <w:b/>
            <w:szCs w:val="18"/>
            <w:lang w:val="de-DE"/>
          </w:rPr>
          <w:t>www.aafrequencysolutions.com</w:t>
        </w:r>
      </w:hyperlink>
    </w:p>
    <w:p w14:paraId="63D503C0" w14:textId="77777777" w:rsidR="00E53D91" w:rsidRPr="00D43C04" w:rsidRDefault="00E53D91" w:rsidP="00E53D91">
      <w:pPr>
        <w:pStyle w:val="NotesMedia"/>
        <w:rPr>
          <w:lang w:val="de-DE"/>
        </w:rPr>
      </w:pPr>
      <w:r w:rsidRPr="00D43C04">
        <w:rPr>
          <w:b/>
          <w:lang w:val="de-DE"/>
        </w:rPr>
        <w:t xml:space="preserve">Pressekontakt: </w:t>
      </w:r>
      <w:r w:rsidRPr="00D43C04">
        <w:rPr>
          <w:lang w:val="de-DE"/>
        </w:rPr>
        <w:t>Anke Allen, Managing Director</w:t>
      </w:r>
      <w:r w:rsidRPr="00D43C04">
        <w:rPr>
          <w:lang w:val="de-DE"/>
        </w:rPr>
        <w:br/>
      </w:r>
      <w:r w:rsidRPr="00D43C04">
        <w:rPr>
          <w:b/>
          <w:lang w:val="de-DE"/>
        </w:rPr>
        <w:t xml:space="preserve">Fotografie: </w:t>
      </w:r>
      <w:r w:rsidRPr="00D43C04">
        <w:rPr>
          <w:lang w:val="de-DE"/>
        </w:rPr>
        <w:t>Hochauflösendes Produktbild wird separat bereitgestellt</w:t>
      </w:r>
      <w:r w:rsidRPr="00D43C04">
        <w:rPr>
          <w:b/>
          <w:lang w:val="de-DE"/>
        </w:rPr>
        <w:br/>
        <w:t xml:space="preserve">Bildnachweis: </w:t>
      </w:r>
      <w:r w:rsidRPr="00D43C04">
        <w:rPr>
          <w:lang w:val="de-DE"/>
        </w:rPr>
        <w:t>AA Frequency Solutions Ltd</w:t>
      </w:r>
    </w:p>
    <w:p w14:paraId="76941227" w14:textId="77777777" w:rsidR="004D6CF0" w:rsidRPr="00D43C04" w:rsidRDefault="004D6CF0" w:rsidP="00E53D91">
      <w:pPr>
        <w:spacing w:after="50" w:line="240" w:lineRule="auto"/>
        <w:rPr>
          <w:lang w:val="de-DE"/>
        </w:rPr>
      </w:pPr>
    </w:p>
    <w:sectPr w:rsidR="004D6CF0" w:rsidRPr="00D43C04" w:rsidSect="00007867">
      <w:headerReference w:type="default" r:id="rId12"/>
      <w:footerReference w:type="default" r:id="rId13"/>
      <w:pgSz w:w="11906" w:h="16838" w:code="9"/>
      <w:pgMar w:top="1021" w:right="1021" w:bottom="397" w:left="1021" w:header="102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059F4" w14:textId="77777777" w:rsidR="00665403" w:rsidRDefault="00665403" w:rsidP="00D027A2">
      <w:pPr>
        <w:spacing w:after="0" w:line="240" w:lineRule="auto"/>
      </w:pPr>
      <w:r>
        <w:separator/>
      </w:r>
    </w:p>
  </w:endnote>
  <w:endnote w:type="continuationSeparator" w:id="0">
    <w:p w14:paraId="3E060B0B" w14:textId="77777777" w:rsidR="00665403" w:rsidRDefault="00665403" w:rsidP="00D02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9E734" w14:textId="77777777" w:rsidR="009E6075" w:rsidRPr="003A4887" w:rsidRDefault="009E6075" w:rsidP="003A4887">
    <w:pPr>
      <w:pStyle w:val="Footer"/>
    </w:pPr>
    <w:r w:rsidRPr="003A4887">
      <w:rPr>
        <w:spacing w:val="10"/>
      </w:rPr>
      <w:t>AA Frequency Solutions Ltd, 71-75 Shelton Street, Covent Garden, London WC2H 9JQ, United Kingdom</w:t>
    </w:r>
    <w:r w:rsidR="00166535">
      <w:br/>
    </w:r>
    <w:r w:rsidR="003A4887" w:rsidRPr="003A4887">
      <w:rPr>
        <w:rFonts w:ascii="Wingdings" w:hAnsi="Wingdings"/>
        <w:color w:val="FFB40D"/>
      </w:rPr>
      <w:t>n</w:t>
    </w:r>
    <w:r w:rsidR="003A4887">
      <w:t xml:space="preserve"> </w:t>
    </w:r>
    <w:r w:rsidRPr="00166535">
      <w:t>Tel: +44 (0)20 3540 4285</w:t>
    </w:r>
    <w:r w:rsidR="003A4887">
      <w:t xml:space="preserve"> </w:t>
    </w:r>
    <w:r w:rsidR="003A4887" w:rsidRPr="003A4887">
      <w:rPr>
        <w:rFonts w:ascii="Wingdings" w:hAnsi="Wingdings"/>
        <w:color w:val="FFB40D"/>
      </w:rPr>
      <w:t>n</w:t>
    </w:r>
    <w:r w:rsidR="003A4887">
      <w:t xml:space="preserve"> </w:t>
    </w:r>
    <w:r w:rsidRPr="00166535">
      <w:t xml:space="preserve">Email: </w:t>
    </w:r>
    <w:hyperlink r:id="rId1" w:history="1">
      <w:r w:rsidRPr="00166535">
        <w:rPr>
          <w:rStyle w:val="Hyperlink"/>
          <w:color w:val="auto"/>
          <w:u w:val="none"/>
        </w:rPr>
        <w:t>info@aafrequencysolutions.com</w:t>
      </w:r>
    </w:hyperlink>
    <w:r w:rsidR="003A4887">
      <w:t xml:space="preserve"> </w:t>
    </w:r>
    <w:r w:rsidR="003A4887" w:rsidRPr="003A4887">
      <w:rPr>
        <w:rFonts w:ascii="Wingdings" w:hAnsi="Wingdings"/>
        <w:color w:val="FFB40D"/>
      </w:rPr>
      <w:t>n</w:t>
    </w:r>
    <w:r w:rsidRPr="00166535">
      <w:t xml:space="preserve"> Web: </w:t>
    </w:r>
    <w:hyperlink r:id="rId2" w:history="1">
      <w:r w:rsidRPr="00166535">
        <w:rPr>
          <w:rStyle w:val="Hyperlink"/>
          <w:color w:val="auto"/>
          <w:u w:val="none"/>
        </w:rPr>
        <w:t>www.aafrequencysolutions.com</w:t>
      </w:r>
    </w:hyperlink>
    <w:r w:rsidR="00166535">
      <w:br/>
    </w:r>
    <w:proofErr w:type="spellStart"/>
    <w:r w:rsidRPr="00A0353F">
      <w:rPr>
        <w:sz w:val="14"/>
        <w:szCs w:val="14"/>
      </w:rPr>
      <w:t>Eingetragen</w:t>
    </w:r>
    <w:proofErr w:type="spellEnd"/>
    <w:r w:rsidRPr="00A0353F">
      <w:rPr>
        <w:sz w:val="14"/>
        <w:szCs w:val="14"/>
      </w:rPr>
      <w:t xml:space="preserve"> in England, </w:t>
    </w:r>
    <w:proofErr w:type="spellStart"/>
    <w:r w:rsidRPr="00A0353F">
      <w:rPr>
        <w:sz w:val="14"/>
        <w:szCs w:val="14"/>
      </w:rPr>
      <w:t>Registernr</w:t>
    </w:r>
    <w:proofErr w:type="spellEnd"/>
    <w:r w:rsidRPr="00A0353F">
      <w:rPr>
        <w:sz w:val="14"/>
        <w:szCs w:val="14"/>
      </w:rPr>
      <w:t xml:space="preserve">. 17317056; </w:t>
    </w:r>
    <w:proofErr w:type="spellStart"/>
    <w:r w:rsidRPr="00A0353F">
      <w:rPr>
        <w:sz w:val="14"/>
        <w:szCs w:val="14"/>
      </w:rPr>
      <w:t>USt-Registrierungsnr</w:t>
    </w:r>
    <w:proofErr w:type="spellEnd"/>
    <w:r w:rsidRPr="00A0353F">
      <w:rPr>
        <w:sz w:val="14"/>
        <w:szCs w:val="14"/>
      </w:rPr>
      <w:t>. 525661781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C9FC6" w14:textId="77777777" w:rsidR="00665403" w:rsidRDefault="00665403" w:rsidP="00D027A2">
      <w:pPr>
        <w:spacing w:after="0" w:line="240" w:lineRule="auto"/>
      </w:pPr>
      <w:r>
        <w:separator/>
      </w:r>
    </w:p>
  </w:footnote>
  <w:footnote w:type="continuationSeparator" w:id="0">
    <w:p w14:paraId="4385CCF2" w14:textId="77777777" w:rsidR="00665403" w:rsidRDefault="00665403" w:rsidP="00D02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C33DB" w14:textId="6849F85A" w:rsidR="008C4D34" w:rsidRPr="008C4D34" w:rsidRDefault="008C4D34" w:rsidP="008C4D34">
    <w:pPr>
      <w:pStyle w:val="Header"/>
      <w:tabs>
        <w:tab w:val="right" w:pos="9864"/>
      </w:tabs>
    </w:pPr>
    <w:r>
      <w:tab/>
    </w:r>
    <w:r>
      <w:tab/>
      <w:t xml:space="preserve">  </w:t>
    </w:r>
    <w:r>
      <w:rPr>
        <w:noProof/>
      </w:rPr>
      <w:drawing>
        <wp:inline distT="0" distB="0" distL="0" distR="0" wp14:anchorId="020AA1B4" wp14:editId="6CEA2B10">
          <wp:extent cx="590550" cy="400050"/>
          <wp:effectExtent l="0" t="0" r="0" b="0"/>
          <wp:docPr id="422007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007123" name=""/>
                  <pic:cNvPicPr/>
                </pic:nvPicPr>
                <pic:blipFill>
                  <a:blip r:embed="rId1"/>
                  <a:stretch>
                    <a:fillRect/>
                  </a:stretch>
                </pic:blipFill>
                <pic:spPr>
                  <a:xfrm>
                    <a:off x="0" y="0"/>
                    <a:ext cx="590550" cy="400050"/>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564B3"/>
    <w:multiLevelType w:val="multilevel"/>
    <w:tmpl w:val="DE82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FB13AA"/>
    <w:multiLevelType w:val="multilevel"/>
    <w:tmpl w:val="10D2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2219DF"/>
    <w:multiLevelType w:val="multilevel"/>
    <w:tmpl w:val="7224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403572"/>
    <w:multiLevelType w:val="multilevel"/>
    <w:tmpl w:val="2782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E57AE8"/>
    <w:multiLevelType w:val="multilevel"/>
    <w:tmpl w:val="CCE2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BB6021"/>
    <w:multiLevelType w:val="multilevel"/>
    <w:tmpl w:val="5624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F2236B"/>
    <w:multiLevelType w:val="multilevel"/>
    <w:tmpl w:val="DFEE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C56668"/>
    <w:multiLevelType w:val="multilevel"/>
    <w:tmpl w:val="D1A0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6876F4B"/>
    <w:multiLevelType w:val="multilevel"/>
    <w:tmpl w:val="E22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5042A6"/>
    <w:multiLevelType w:val="multilevel"/>
    <w:tmpl w:val="2BB8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81671529">
    <w:abstractNumId w:val="6"/>
  </w:num>
  <w:num w:numId="2" w16cid:durableId="1160732030">
    <w:abstractNumId w:val="1"/>
  </w:num>
  <w:num w:numId="3" w16cid:durableId="2082635139">
    <w:abstractNumId w:val="5"/>
  </w:num>
  <w:num w:numId="4" w16cid:durableId="69159616">
    <w:abstractNumId w:val="7"/>
  </w:num>
  <w:num w:numId="5" w16cid:durableId="1327515793">
    <w:abstractNumId w:val="8"/>
  </w:num>
  <w:num w:numId="6" w16cid:durableId="1356809310">
    <w:abstractNumId w:val="3"/>
  </w:num>
  <w:num w:numId="7" w16cid:durableId="402224045">
    <w:abstractNumId w:val="0"/>
  </w:num>
  <w:num w:numId="8" w16cid:durableId="2024015966">
    <w:abstractNumId w:val="9"/>
  </w:num>
  <w:num w:numId="9" w16cid:durableId="1678268686">
    <w:abstractNumId w:val="2"/>
  </w:num>
  <w:num w:numId="10" w16cid:durableId="1647391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47"/>
    <w:rsid w:val="000006B5"/>
    <w:rsid w:val="00007867"/>
    <w:rsid w:val="000100E5"/>
    <w:rsid w:val="00040277"/>
    <w:rsid w:val="00091400"/>
    <w:rsid w:val="000C06B0"/>
    <w:rsid w:val="000E16FD"/>
    <w:rsid w:val="00147601"/>
    <w:rsid w:val="00166535"/>
    <w:rsid w:val="00173025"/>
    <w:rsid w:val="00180964"/>
    <w:rsid w:val="001F215A"/>
    <w:rsid w:val="002137D5"/>
    <w:rsid w:val="00221A47"/>
    <w:rsid w:val="00241DF8"/>
    <w:rsid w:val="00246B8E"/>
    <w:rsid w:val="00270CCF"/>
    <w:rsid w:val="002C4C54"/>
    <w:rsid w:val="002E6ED8"/>
    <w:rsid w:val="00310574"/>
    <w:rsid w:val="00325A98"/>
    <w:rsid w:val="003830CA"/>
    <w:rsid w:val="00387911"/>
    <w:rsid w:val="003A4887"/>
    <w:rsid w:val="003C024C"/>
    <w:rsid w:val="004162F1"/>
    <w:rsid w:val="00442C97"/>
    <w:rsid w:val="00457324"/>
    <w:rsid w:val="004D6CF0"/>
    <w:rsid w:val="004F437F"/>
    <w:rsid w:val="004F5D71"/>
    <w:rsid w:val="0050175F"/>
    <w:rsid w:val="005072B2"/>
    <w:rsid w:val="0051586C"/>
    <w:rsid w:val="0057354F"/>
    <w:rsid w:val="005B3B1D"/>
    <w:rsid w:val="005B4DB8"/>
    <w:rsid w:val="00665403"/>
    <w:rsid w:val="006B725A"/>
    <w:rsid w:val="006F4B77"/>
    <w:rsid w:val="00710001"/>
    <w:rsid w:val="007219E2"/>
    <w:rsid w:val="00750B7B"/>
    <w:rsid w:val="00771C7C"/>
    <w:rsid w:val="00777698"/>
    <w:rsid w:val="007C311E"/>
    <w:rsid w:val="007E28D8"/>
    <w:rsid w:val="007F24E0"/>
    <w:rsid w:val="008359E5"/>
    <w:rsid w:val="00860F8C"/>
    <w:rsid w:val="00863BD9"/>
    <w:rsid w:val="0087506A"/>
    <w:rsid w:val="00890D6D"/>
    <w:rsid w:val="00892B75"/>
    <w:rsid w:val="008C4D34"/>
    <w:rsid w:val="008C5CF2"/>
    <w:rsid w:val="008E4542"/>
    <w:rsid w:val="00915CE4"/>
    <w:rsid w:val="00940707"/>
    <w:rsid w:val="009945F2"/>
    <w:rsid w:val="009B088C"/>
    <w:rsid w:val="009B30DE"/>
    <w:rsid w:val="009E6075"/>
    <w:rsid w:val="009F3383"/>
    <w:rsid w:val="009F6449"/>
    <w:rsid w:val="00A0353F"/>
    <w:rsid w:val="00A23201"/>
    <w:rsid w:val="00A2426E"/>
    <w:rsid w:val="00A254BD"/>
    <w:rsid w:val="00A34EA9"/>
    <w:rsid w:val="00A64D65"/>
    <w:rsid w:val="00AB165E"/>
    <w:rsid w:val="00AC50D2"/>
    <w:rsid w:val="00AD14BA"/>
    <w:rsid w:val="00B06176"/>
    <w:rsid w:val="00B10882"/>
    <w:rsid w:val="00B140C8"/>
    <w:rsid w:val="00B30A32"/>
    <w:rsid w:val="00B448D0"/>
    <w:rsid w:val="00B50B3D"/>
    <w:rsid w:val="00B53FAE"/>
    <w:rsid w:val="00BB0A03"/>
    <w:rsid w:val="00BB21A1"/>
    <w:rsid w:val="00BF03BF"/>
    <w:rsid w:val="00C15AA4"/>
    <w:rsid w:val="00C25C22"/>
    <w:rsid w:val="00C73D31"/>
    <w:rsid w:val="00CC6AF1"/>
    <w:rsid w:val="00D00580"/>
    <w:rsid w:val="00D027A2"/>
    <w:rsid w:val="00D43C04"/>
    <w:rsid w:val="00D44635"/>
    <w:rsid w:val="00D81E65"/>
    <w:rsid w:val="00D90468"/>
    <w:rsid w:val="00DD56E3"/>
    <w:rsid w:val="00E53D91"/>
    <w:rsid w:val="00E96AAD"/>
    <w:rsid w:val="00EB1E70"/>
    <w:rsid w:val="00EB2901"/>
    <w:rsid w:val="00EE3945"/>
    <w:rsid w:val="00EF004F"/>
    <w:rsid w:val="00F03933"/>
    <w:rsid w:val="00F311A2"/>
    <w:rsid w:val="00F459A9"/>
    <w:rsid w:val="00F553B4"/>
    <w:rsid w:val="00F65E95"/>
    <w:rsid w:val="00F73D8D"/>
    <w:rsid w:val="00F824BB"/>
    <w:rsid w:val="00F9687B"/>
    <w:rsid w:val="00FE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32BAD"/>
  <w15:chartTrackingRefBased/>
  <w15:docId w15:val="{E1A05454-F764-4D79-9284-59207E77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535"/>
    <w:pPr>
      <w:spacing w:after="120" w:line="288" w:lineRule="auto"/>
    </w:pPr>
    <w:rPr>
      <w:rFonts w:ascii="Arial" w:hAnsi="Arial"/>
      <w:sz w:val="20"/>
    </w:rPr>
  </w:style>
  <w:style w:type="paragraph" w:styleId="Heading1">
    <w:name w:val="heading 1"/>
    <w:basedOn w:val="Normal"/>
    <w:next w:val="Normal"/>
    <w:link w:val="Heading1Char"/>
    <w:uiPriority w:val="9"/>
    <w:qFormat/>
    <w:rsid w:val="00F459A9"/>
    <w:pPr>
      <w:keepNext/>
      <w:keepLines/>
      <w:spacing w:before="360" w:after="80"/>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D44635"/>
    <w:pPr>
      <w:keepNext/>
      <w:keepLines/>
      <w:spacing w:before="120"/>
      <w:outlineLvl w:val="1"/>
    </w:pPr>
    <w:rPr>
      <w:rFonts w:eastAsiaTheme="majorEastAsia" w:cstheme="majorBidi"/>
      <w:b/>
      <w:sz w:val="28"/>
      <w:szCs w:val="32"/>
    </w:rPr>
  </w:style>
  <w:style w:type="paragraph" w:styleId="Heading3">
    <w:name w:val="heading 3"/>
    <w:basedOn w:val="Normal"/>
    <w:next w:val="Normal"/>
    <w:link w:val="Heading3Char"/>
    <w:autoRedefine/>
    <w:uiPriority w:val="9"/>
    <w:unhideWhenUsed/>
    <w:qFormat/>
    <w:rsid w:val="00F73D8D"/>
    <w:pPr>
      <w:keepNext/>
      <w:keepLines/>
      <w:spacing w:before="120"/>
      <w:outlineLvl w:val="2"/>
    </w:pPr>
    <w:rPr>
      <w:rFonts w:eastAsiaTheme="majorEastAsia" w:cstheme="majorBidi"/>
      <w:b/>
      <w:szCs w:val="28"/>
    </w:rPr>
  </w:style>
  <w:style w:type="paragraph" w:styleId="Heading4">
    <w:name w:val="heading 4"/>
    <w:basedOn w:val="Normal"/>
    <w:next w:val="Normal"/>
    <w:link w:val="Heading4Char"/>
    <w:uiPriority w:val="9"/>
    <w:semiHidden/>
    <w:unhideWhenUsed/>
    <w:rsid w:val="00221A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A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9A9"/>
    <w:rPr>
      <w:rFonts w:asciiTheme="majorHAnsi" w:eastAsiaTheme="majorEastAsia" w:hAnsiTheme="majorHAnsi" w:cstheme="majorBidi"/>
      <w:b/>
      <w:color w:val="000000" w:themeColor="text1"/>
      <w:sz w:val="32"/>
      <w:szCs w:val="40"/>
    </w:rPr>
  </w:style>
  <w:style w:type="character" w:customStyle="1" w:styleId="Heading2Char">
    <w:name w:val="Heading 2 Char"/>
    <w:basedOn w:val="DefaultParagraphFont"/>
    <w:link w:val="Heading2"/>
    <w:uiPriority w:val="9"/>
    <w:rsid w:val="00D44635"/>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F73D8D"/>
    <w:rPr>
      <w:rFonts w:ascii="Arial" w:eastAsiaTheme="majorEastAsia" w:hAnsi="Arial" w:cstheme="majorBidi"/>
      <w:b/>
      <w:sz w:val="20"/>
      <w:szCs w:val="28"/>
    </w:rPr>
  </w:style>
  <w:style w:type="character" w:customStyle="1" w:styleId="Heading4Char">
    <w:name w:val="Heading 4 Char"/>
    <w:basedOn w:val="DefaultParagraphFont"/>
    <w:link w:val="Heading4"/>
    <w:uiPriority w:val="9"/>
    <w:semiHidden/>
    <w:rsid w:val="00221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A47"/>
    <w:rPr>
      <w:rFonts w:eastAsiaTheme="majorEastAsia" w:cstheme="majorBidi"/>
      <w:color w:val="272727" w:themeColor="text1" w:themeTint="D8"/>
    </w:rPr>
  </w:style>
  <w:style w:type="paragraph" w:styleId="Title">
    <w:name w:val="Title"/>
    <w:basedOn w:val="Normal"/>
    <w:next w:val="Normal"/>
    <w:link w:val="TitleChar"/>
    <w:uiPriority w:val="10"/>
    <w:qFormat/>
    <w:rsid w:val="00F553B4"/>
    <w:pPr>
      <w:keepNext/>
      <w:keepLines/>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553B4"/>
    <w:rPr>
      <w:rFonts w:ascii="Arial" w:eastAsiaTheme="majorEastAsia" w:hAnsi="Arial" w:cstheme="majorBidi"/>
      <w:b/>
      <w:spacing w:val="-10"/>
      <w:kern w:val="28"/>
      <w:sz w:val="28"/>
      <w:szCs w:val="56"/>
    </w:rPr>
  </w:style>
  <w:style w:type="paragraph" w:styleId="Subtitle">
    <w:name w:val="Subtitle"/>
    <w:basedOn w:val="Normal"/>
    <w:next w:val="Normal"/>
    <w:link w:val="SubtitleChar"/>
    <w:uiPriority w:val="11"/>
    <w:qFormat/>
    <w:rsid w:val="00221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221A47"/>
    <w:pPr>
      <w:spacing w:before="160"/>
      <w:jc w:val="center"/>
    </w:pPr>
    <w:rPr>
      <w:i/>
      <w:iCs/>
      <w:color w:val="404040" w:themeColor="text1" w:themeTint="BF"/>
    </w:rPr>
  </w:style>
  <w:style w:type="character" w:customStyle="1" w:styleId="QuoteChar">
    <w:name w:val="Quote Char"/>
    <w:basedOn w:val="DefaultParagraphFont"/>
    <w:link w:val="Quote"/>
    <w:uiPriority w:val="29"/>
    <w:rsid w:val="00221A47"/>
    <w:rPr>
      <w:i/>
      <w:iCs/>
      <w:color w:val="404040" w:themeColor="text1" w:themeTint="BF"/>
    </w:rPr>
  </w:style>
  <w:style w:type="paragraph" w:styleId="ListParagraph">
    <w:name w:val="List Paragraph"/>
    <w:basedOn w:val="Normal"/>
    <w:uiPriority w:val="34"/>
    <w:qFormat/>
    <w:rsid w:val="00221A47"/>
    <w:pPr>
      <w:ind w:left="720"/>
      <w:contextualSpacing/>
    </w:pPr>
  </w:style>
  <w:style w:type="character" w:styleId="IntenseEmphasis">
    <w:name w:val="Intense Emphasis"/>
    <w:basedOn w:val="DefaultParagraphFont"/>
    <w:uiPriority w:val="21"/>
    <w:rsid w:val="00221A47"/>
    <w:rPr>
      <w:i/>
      <w:iCs/>
      <w:color w:val="0F4761" w:themeColor="accent1" w:themeShade="BF"/>
    </w:rPr>
  </w:style>
  <w:style w:type="character" w:styleId="IntenseReference">
    <w:name w:val="Intense Reference"/>
    <w:basedOn w:val="DefaultParagraphFont"/>
    <w:uiPriority w:val="32"/>
    <w:rsid w:val="00221A47"/>
    <w:rPr>
      <w:b/>
      <w:bCs/>
      <w:smallCaps/>
      <w:color w:val="0F4761" w:themeColor="accent1" w:themeShade="BF"/>
      <w:spacing w:val="5"/>
    </w:rPr>
  </w:style>
  <w:style w:type="paragraph" w:styleId="Header">
    <w:name w:val="header"/>
    <w:basedOn w:val="Normal"/>
    <w:link w:val="HeaderChar"/>
    <w:uiPriority w:val="99"/>
    <w:unhideWhenUsed/>
    <w:rsid w:val="00D02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7A2"/>
  </w:style>
  <w:style w:type="paragraph" w:styleId="Footer">
    <w:name w:val="footer"/>
    <w:basedOn w:val="Normal"/>
    <w:link w:val="FooterChar"/>
    <w:autoRedefine/>
    <w:uiPriority w:val="99"/>
    <w:unhideWhenUsed/>
    <w:qFormat/>
    <w:rsid w:val="00B448D0"/>
    <w:pPr>
      <w:pBdr>
        <w:top w:val="single" w:sz="12" w:space="3" w:color="FFB40D"/>
      </w:pBdr>
      <w:jc w:val="right"/>
    </w:pPr>
    <w:rPr>
      <w:sz w:val="16"/>
    </w:rPr>
  </w:style>
  <w:style w:type="character" w:customStyle="1" w:styleId="FooterChar">
    <w:name w:val="Footer Char"/>
    <w:basedOn w:val="DefaultParagraphFont"/>
    <w:link w:val="Footer"/>
    <w:uiPriority w:val="99"/>
    <w:rsid w:val="00B448D0"/>
    <w:rPr>
      <w:rFonts w:ascii="Arial" w:hAnsi="Arial"/>
      <w:sz w:val="16"/>
    </w:rPr>
  </w:style>
  <w:style w:type="character" w:styleId="Hyperlink">
    <w:name w:val="Hyperlink"/>
    <w:basedOn w:val="DefaultParagraphFont"/>
    <w:uiPriority w:val="99"/>
    <w:unhideWhenUsed/>
    <w:rsid w:val="009E6075"/>
    <w:rPr>
      <w:color w:val="467886" w:themeColor="hyperlink"/>
      <w:u w:val="single"/>
    </w:rPr>
  </w:style>
  <w:style w:type="character" w:styleId="UnresolvedMention">
    <w:name w:val="Unresolved Mention"/>
    <w:basedOn w:val="DefaultParagraphFont"/>
    <w:uiPriority w:val="99"/>
    <w:semiHidden/>
    <w:unhideWhenUsed/>
    <w:rsid w:val="009E6075"/>
    <w:rPr>
      <w:color w:val="605E5C"/>
      <w:shd w:val="clear" w:color="auto" w:fill="E1DFDD"/>
    </w:rPr>
  </w:style>
  <w:style w:type="paragraph" w:customStyle="1" w:styleId="Release">
    <w:name w:val="Release"/>
    <w:basedOn w:val="Normal"/>
    <w:link w:val="ReleaseChar"/>
    <w:autoRedefine/>
    <w:qFormat/>
    <w:rsid w:val="000006B5"/>
    <w:pPr>
      <w:keepNext/>
      <w:spacing w:before="120"/>
    </w:pPr>
    <w:rPr>
      <w:bCs/>
    </w:rPr>
  </w:style>
  <w:style w:type="character" w:customStyle="1" w:styleId="ReleaseChar">
    <w:name w:val="Release Char"/>
    <w:basedOn w:val="DefaultParagraphFont"/>
    <w:link w:val="Release"/>
    <w:rsid w:val="000006B5"/>
    <w:rPr>
      <w:rFonts w:ascii="Arial" w:hAnsi="Arial"/>
      <w:bCs/>
      <w:sz w:val="20"/>
    </w:rPr>
  </w:style>
  <w:style w:type="paragraph" w:customStyle="1" w:styleId="NotesMedia">
    <w:name w:val="Notes &amp; Media"/>
    <w:basedOn w:val="Normal"/>
    <w:link w:val="NotesMediaChar"/>
    <w:autoRedefine/>
    <w:qFormat/>
    <w:rsid w:val="00B53FAE"/>
    <w:pPr>
      <w:keepNext/>
    </w:pPr>
    <w:rPr>
      <w:bCs/>
      <w:sz w:val="18"/>
      <w:szCs w:val="20"/>
    </w:rPr>
  </w:style>
  <w:style w:type="character" w:customStyle="1" w:styleId="NotesMediaChar">
    <w:name w:val="Notes &amp; Media Char"/>
    <w:basedOn w:val="DefaultParagraphFont"/>
    <w:link w:val="NotesMedia"/>
    <w:rsid w:val="00B53FAE"/>
    <w:rPr>
      <w:rFonts w:ascii="Arial" w:hAnsi="Arial"/>
      <w:bCs/>
      <w:sz w:val="18"/>
      <w:szCs w:val="20"/>
    </w:rPr>
  </w:style>
  <w:style w:type="paragraph" w:customStyle="1" w:styleId="Ends">
    <w:name w:val="Ends"/>
    <w:basedOn w:val="Normal"/>
    <w:link w:val="EndsChar"/>
    <w:qFormat/>
    <w:rsid w:val="004162F1"/>
    <w:pPr>
      <w:spacing w:after="240"/>
    </w:pPr>
    <w:rPr>
      <w:b/>
      <w:bCs/>
      <w:szCs w:val="20"/>
    </w:rPr>
  </w:style>
  <w:style w:type="character" w:customStyle="1" w:styleId="EndsChar">
    <w:name w:val="Ends Char"/>
    <w:basedOn w:val="DefaultParagraphFont"/>
    <w:link w:val="Ends"/>
    <w:rsid w:val="004162F1"/>
    <w:rPr>
      <w:rFonts w:ascii="Arial" w:hAnsi="Arial"/>
      <w:b/>
      <w:bCs/>
      <w:sz w:val="20"/>
      <w:szCs w:val="20"/>
    </w:rPr>
  </w:style>
  <w:style w:type="paragraph" w:customStyle="1" w:styleId="PressRelease">
    <w:name w:val="Press Release"/>
    <w:basedOn w:val="Title"/>
    <w:link w:val="PressReleaseChar"/>
    <w:qFormat/>
    <w:rsid w:val="008359E5"/>
    <w:pPr>
      <w:jc w:val="center"/>
    </w:pPr>
  </w:style>
  <w:style w:type="character" w:customStyle="1" w:styleId="PressReleaseChar">
    <w:name w:val="Press Release Char"/>
    <w:basedOn w:val="TitleChar"/>
    <w:link w:val="PressRelease"/>
    <w:rsid w:val="008359E5"/>
    <w:rPr>
      <w:rFonts w:ascii="Arial" w:eastAsiaTheme="majorEastAsia" w:hAnsi="Arial" w:cstheme="majorBidi"/>
      <w:b/>
      <w:spacing w:val="-10"/>
      <w:kern w:val="28"/>
      <w:sz w:val="28"/>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afrequencysolution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afrequencysolutions.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afrequencysolutions.com" TargetMode="External"/><Relationship Id="rId1" Type="http://schemas.openxmlformats.org/officeDocument/2006/relationships/hyperlink" Target="mailto:info@aafrequencysolution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541</Words>
  <Characters>3089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AAFS Headed Paper</vt:lpstr>
    </vt:vector>
  </TitlesOfParts>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AAFS Headed Paper</dc:title>
  <dc:subject>AAFS Headed Paper</dc:subject>
  <dc:creator>Anke Allen</dc:creator>
  <cp:keywords/>
  <dc:description/>
  <cp:lastModifiedBy>Anke Allen</cp:lastModifiedBy>
  <cp:revision>2</cp:revision>
  <dcterms:created xsi:type="dcterms:W3CDTF">2026-11-08T20:30:00Z</dcterms:created>
  <dcterms:modified xsi:type="dcterms:W3CDTF">2026-11-08T20:30:00Z</dcterms:modified>
</cp:coreProperties>
</file>