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526" w:rsidRPr="00250526" w:rsidRDefault="00250526" w:rsidP="00250526">
      <w:pPr>
        <w:keepLines w:val="0"/>
        <w:suppressAutoHyphens/>
        <w:spacing w:after="0" w:line="240" w:lineRule="auto"/>
        <w:jc w:val="center"/>
        <w:rPr>
          <w:rFonts w:eastAsia="Times New Roman" w:cs="Times New Roman"/>
          <w:b/>
          <w:sz w:val="24"/>
          <w:szCs w:val="24"/>
          <w:lang w:val="de-DE" w:eastAsia="zh-CN"/>
        </w:rPr>
      </w:pPr>
    </w:p>
    <w:p w:rsidR="00250526" w:rsidRPr="00250526" w:rsidRDefault="00250526" w:rsidP="00250526">
      <w:pPr>
        <w:keepLines w:val="0"/>
        <w:spacing w:after="0" w:line="240" w:lineRule="auto"/>
        <w:jc w:val="center"/>
        <w:rPr>
          <w:rFonts w:eastAsia="Times New Roman" w:cs="Times New Roman"/>
          <w:b/>
          <w:sz w:val="32"/>
          <w:szCs w:val="32"/>
          <w:lang w:val="de-DE" w:eastAsia="zh-CN"/>
        </w:rPr>
      </w:pPr>
      <w:r w:rsidRPr="00250526">
        <w:rPr>
          <w:rFonts w:eastAsia="Times New Roman" w:cs="Times New Roman"/>
          <w:b/>
          <w:sz w:val="32"/>
          <w:szCs w:val="24"/>
          <w:lang w:val="de-DE" w:eastAsia="zh-CN"/>
        </w:rPr>
        <w:t>Skalierbare Multi-Core-Lösungen auf Basis der Anwendungsprozessoren</w:t>
      </w:r>
      <w:r w:rsidR="00D90277">
        <w:rPr>
          <w:rFonts w:eastAsia="Times New Roman" w:cs="Times New Roman"/>
          <w:b/>
          <w:sz w:val="32"/>
          <w:szCs w:val="24"/>
          <w:lang w:val="de-DE" w:eastAsia="zh-CN"/>
        </w:rPr>
        <w:t xml:space="preserve"> </w:t>
      </w:r>
      <w:r w:rsidRPr="00250526">
        <w:rPr>
          <w:rFonts w:eastAsia="Times New Roman" w:cs="Times New Roman"/>
          <w:b/>
          <w:sz w:val="32"/>
          <w:szCs w:val="24"/>
          <w:lang w:val="de-DE" w:eastAsia="zh-CN"/>
        </w:rPr>
        <w:t xml:space="preserve">der Serie NXP i.MX 8 </w:t>
      </w:r>
    </w:p>
    <w:p w:rsidR="00250526" w:rsidRPr="00250526" w:rsidRDefault="00250526" w:rsidP="00250526">
      <w:pPr>
        <w:keepLines w:val="0"/>
        <w:spacing w:after="0" w:line="240" w:lineRule="auto"/>
        <w:jc w:val="center"/>
        <w:rPr>
          <w:rFonts w:eastAsia="Times New Roman" w:cs="Times New Roman"/>
          <w:b/>
          <w:sz w:val="32"/>
          <w:szCs w:val="32"/>
          <w:lang w:val="de-DE" w:eastAsia="zh-CN"/>
        </w:rPr>
      </w:pPr>
      <w:r w:rsidRPr="00250526">
        <w:rPr>
          <w:rFonts w:eastAsia="Times New Roman" w:cs="Times New Roman"/>
          <w:sz w:val="32"/>
          <w:szCs w:val="24"/>
          <w:lang w:val="de-DE" w:eastAsia="zh-CN"/>
        </w:rPr>
        <w:t>und</w:t>
      </w:r>
    </w:p>
    <w:p w:rsidR="00250526" w:rsidRPr="00250526" w:rsidRDefault="00250526" w:rsidP="00250526">
      <w:pPr>
        <w:keepLines w:val="0"/>
        <w:spacing w:after="0" w:line="240" w:lineRule="auto"/>
        <w:jc w:val="center"/>
        <w:rPr>
          <w:rFonts w:eastAsia="Times New Roman" w:cs="Arial"/>
          <w:b/>
          <w:color w:val="222222"/>
          <w:sz w:val="32"/>
          <w:szCs w:val="32"/>
          <w:lang w:val="de-DE" w:eastAsia="zh-CN"/>
        </w:rPr>
      </w:pPr>
      <w:r w:rsidRPr="00250526">
        <w:rPr>
          <w:rFonts w:eastAsia="Times New Roman" w:cs="Times New Roman"/>
          <w:b/>
          <w:color w:val="222222"/>
          <w:sz w:val="32"/>
          <w:szCs w:val="24"/>
          <w:lang w:val="de-DE" w:eastAsia="zh-CN"/>
        </w:rPr>
        <w:t xml:space="preserve">Heterogene Verarbeitungssysteme auf Basis der </w:t>
      </w:r>
      <w:proofErr w:type="spellStart"/>
      <w:r w:rsidRPr="00250526">
        <w:rPr>
          <w:rFonts w:eastAsia="Times New Roman" w:cs="Times New Roman"/>
          <w:b/>
          <w:color w:val="222222"/>
          <w:sz w:val="32"/>
          <w:szCs w:val="24"/>
          <w:lang w:val="de-DE" w:eastAsia="zh-CN"/>
        </w:rPr>
        <w:t>Zynq</w:t>
      </w:r>
      <w:proofErr w:type="spellEnd"/>
      <w:r w:rsidR="00D90277">
        <w:rPr>
          <w:rFonts w:eastAsia="Times New Roman" w:cs="Times New Roman"/>
          <w:b/>
          <w:color w:val="222222"/>
          <w:sz w:val="32"/>
          <w:szCs w:val="24"/>
          <w:lang w:val="de-DE" w:eastAsia="zh-CN"/>
        </w:rPr>
        <w:t xml:space="preserve"> </w:t>
      </w:r>
      <w:proofErr w:type="spellStart"/>
      <w:r w:rsidRPr="00250526">
        <w:rPr>
          <w:rFonts w:eastAsia="Times New Roman" w:cs="Times New Roman"/>
          <w:b/>
          <w:color w:val="222222"/>
          <w:sz w:val="32"/>
          <w:szCs w:val="24"/>
          <w:lang w:val="de-DE" w:eastAsia="zh-CN"/>
        </w:rPr>
        <w:t>UltraScale</w:t>
      </w:r>
      <w:proofErr w:type="spellEnd"/>
      <w:r w:rsidRPr="00250526">
        <w:rPr>
          <w:rFonts w:eastAsia="Times New Roman" w:cs="Times New Roman"/>
          <w:b/>
          <w:color w:val="222222"/>
          <w:sz w:val="32"/>
          <w:szCs w:val="24"/>
          <w:lang w:val="de-DE" w:eastAsia="zh-CN"/>
        </w:rPr>
        <w:t xml:space="preserve">+ </w:t>
      </w:r>
      <w:proofErr w:type="spellStart"/>
      <w:r w:rsidR="00D90277" w:rsidRPr="00250526">
        <w:rPr>
          <w:rFonts w:eastAsia="Times New Roman" w:cs="Times New Roman"/>
          <w:b/>
          <w:color w:val="222222"/>
          <w:sz w:val="32"/>
          <w:szCs w:val="24"/>
          <w:lang w:val="de-DE" w:eastAsia="zh-CN"/>
        </w:rPr>
        <w:t>MPSoCs</w:t>
      </w:r>
      <w:proofErr w:type="spellEnd"/>
      <w:r w:rsidR="00D90277" w:rsidRPr="00250526">
        <w:rPr>
          <w:rFonts w:eastAsia="Times New Roman" w:cs="Times New Roman"/>
          <w:b/>
          <w:color w:val="222222"/>
          <w:sz w:val="32"/>
          <w:szCs w:val="24"/>
          <w:lang w:val="de-DE" w:eastAsia="zh-CN"/>
        </w:rPr>
        <w:t xml:space="preserve"> </w:t>
      </w:r>
      <w:r w:rsidRPr="00250526">
        <w:rPr>
          <w:rFonts w:eastAsia="Times New Roman" w:cs="Times New Roman"/>
          <w:b/>
          <w:color w:val="222222"/>
          <w:sz w:val="32"/>
          <w:szCs w:val="24"/>
          <w:lang w:val="de-DE" w:eastAsia="zh-CN"/>
        </w:rPr>
        <w:t xml:space="preserve">von </w:t>
      </w:r>
      <w:proofErr w:type="spellStart"/>
      <w:r w:rsidRPr="00250526">
        <w:rPr>
          <w:rFonts w:eastAsia="Times New Roman" w:cs="Times New Roman"/>
          <w:b/>
          <w:color w:val="222222"/>
          <w:sz w:val="32"/>
          <w:szCs w:val="24"/>
          <w:lang w:val="de-DE" w:eastAsia="zh-CN"/>
        </w:rPr>
        <w:t>Xilinx</w:t>
      </w:r>
      <w:proofErr w:type="spellEnd"/>
    </w:p>
    <w:p w:rsidR="00250526" w:rsidRPr="00250526" w:rsidRDefault="00250526" w:rsidP="00250526">
      <w:pPr>
        <w:keepLines w:val="0"/>
        <w:spacing w:after="0" w:line="240" w:lineRule="auto"/>
        <w:rPr>
          <w:rFonts w:eastAsia="Times New Roman" w:cs="Times New Roman"/>
          <w:sz w:val="32"/>
          <w:szCs w:val="32"/>
          <w:lang w:val="de-DE" w:eastAsia="zh-CN"/>
        </w:rPr>
      </w:pPr>
    </w:p>
    <w:p w:rsidR="00250526" w:rsidRPr="00250526" w:rsidRDefault="00250526" w:rsidP="00250526">
      <w:pPr>
        <w:keepLines w:val="0"/>
        <w:suppressAutoHyphens/>
        <w:spacing w:after="0" w:line="240" w:lineRule="auto"/>
        <w:rPr>
          <w:rFonts w:eastAsia="Times New Roman" w:cs="Times New Roman"/>
          <w:sz w:val="24"/>
          <w:szCs w:val="24"/>
          <w:lang w:val="de-DE" w:eastAsia="zh-CN"/>
        </w:rPr>
      </w:pPr>
    </w:p>
    <w:p w:rsidR="00250526" w:rsidRPr="00250526" w:rsidRDefault="00250526" w:rsidP="00250526">
      <w:pPr>
        <w:keepLines w:val="0"/>
        <w:suppressAutoHyphens/>
        <w:spacing w:after="240" w:line="240" w:lineRule="auto"/>
        <w:rPr>
          <w:rFonts w:eastAsia="Times New Roman" w:cs="Times New Roman"/>
          <w:sz w:val="24"/>
          <w:szCs w:val="24"/>
          <w:lang w:val="de-DE" w:eastAsia="zh-CN"/>
        </w:rPr>
      </w:pPr>
    </w:p>
    <w:p w:rsidR="00250526" w:rsidRPr="00250526" w:rsidRDefault="00250526" w:rsidP="00250526">
      <w:pPr>
        <w:keepLines w:val="0"/>
        <w:spacing w:after="0" w:line="240" w:lineRule="auto"/>
        <w:rPr>
          <w:rFonts w:eastAsia="Times New Roman" w:cs="Times New Roman"/>
          <w:sz w:val="22"/>
          <w:szCs w:val="24"/>
          <w:lang w:val="de-DE" w:eastAsia="zh-CN"/>
        </w:rPr>
      </w:pPr>
      <w:r w:rsidRPr="00250526">
        <w:rPr>
          <w:rFonts w:eastAsia="Times New Roman" w:cs="Times New Roman"/>
          <w:color w:val="000000"/>
          <w:sz w:val="22"/>
          <w:szCs w:val="24"/>
          <w:lang w:val="de-DE" w:eastAsia="zh-CN"/>
        </w:rPr>
        <w:t xml:space="preserve">Von </w:t>
      </w:r>
      <w:r w:rsidRPr="00250526">
        <w:rPr>
          <w:rFonts w:eastAsia="Times New Roman" w:cs="Times New Roman"/>
          <w:b/>
          <w:color w:val="000000"/>
          <w:sz w:val="22"/>
          <w:szCs w:val="24"/>
          <w:lang w:val="de-DE" w:eastAsia="zh-CN"/>
        </w:rPr>
        <w:t>Dienstag den 13. November, bis Freitag, den 16. November</w:t>
      </w:r>
      <w:r w:rsidRPr="00250526">
        <w:rPr>
          <w:rFonts w:eastAsia="Times New Roman" w:cs="Times New Roman"/>
          <w:color w:val="000000"/>
          <w:sz w:val="22"/>
          <w:szCs w:val="24"/>
          <w:lang w:val="de-DE" w:eastAsia="zh-CN"/>
        </w:rPr>
        <w:t xml:space="preserve">, findet die </w:t>
      </w:r>
      <w:proofErr w:type="spellStart"/>
      <w:r w:rsidRPr="00250526">
        <w:rPr>
          <w:rFonts w:eastAsia="Times New Roman" w:cs="Times New Roman"/>
          <w:b/>
          <w:color w:val="000000"/>
          <w:sz w:val="22"/>
          <w:szCs w:val="24"/>
          <w:lang w:val="de-DE" w:eastAsia="zh-CN"/>
        </w:rPr>
        <w:t>electronica</w:t>
      </w:r>
      <w:proofErr w:type="spellEnd"/>
      <w:r w:rsidRPr="00250526">
        <w:rPr>
          <w:rFonts w:eastAsia="Times New Roman" w:cs="Times New Roman"/>
          <w:color w:val="000000"/>
          <w:sz w:val="22"/>
          <w:szCs w:val="24"/>
          <w:lang w:val="de-DE" w:eastAsia="zh-CN"/>
        </w:rPr>
        <w:t xml:space="preserve">, die internationale Leitmesse und Konferenz für die Elektronikbranche, wieder einmal auf dem Messegelände der </w:t>
      </w:r>
      <w:r w:rsidRPr="00250526">
        <w:rPr>
          <w:rFonts w:eastAsia="Times New Roman" w:cs="Times New Roman"/>
          <w:b/>
          <w:bCs/>
          <w:color w:val="000000"/>
          <w:sz w:val="22"/>
          <w:szCs w:val="24"/>
          <w:lang w:val="de-DE" w:eastAsia="zh-CN"/>
        </w:rPr>
        <w:t xml:space="preserve">Messe München </w:t>
      </w:r>
      <w:r w:rsidRPr="00250526">
        <w:rPr>
          <w:rFonts w:eastAsia="Times New Roman" w:cs="Times New Roman"/>
          <w:color w:val="000000"/>
          <w:sz w:val="22"/>
          <w:szCs w:val="24"/>
          <w:lang w:val="de-DE" w:eastAsia="zh-CN"/>
        </w:rPr>
        <w:t xml:space="preserve">statt. Seit 1964 ist die </w:t>
      </w:r>
      <w:proofErr w:type="spellStart"/>
      <w:r w:rsidRPr="00250526">
        <w:rPr>
          <w:rFonts w:eastAsia="Times New Roman" w:cs="Times New Roman"/>
          <w:color w:val="000000"/>
          <w:sz w:val="22"/>
          <w:szCs w:val="24"/>
          <w:lang w:val="de-DE" w:eastAsia="zh-CN"/>
        </w:rPr>
        <w:t>electronica</w:t>
      </w:r>
      <w:proofErr w:type="spellEnd"/>
      <w:r w:rsidRPr="00250526">
        <w:rPr>
          <w:rFonts w:eastAsia="Times New Roman" w:cs="Times New Roman"/>
          <w:color w:val="000000"/>
          <w:sz w:val="22"/>
          <w:szCs w:val="24"/>
          <w:lang w:val="de-DE" w:eastAsia="zh-CN"/>
        </w:rPr>
        <w:t xml:space="preserve"> die bedeutendste Plattform für internationale Geschäfte in diesem Bereich geblieben, die konsequent die Möglichkeit bietet, Trends in Aktion zu messen und sich einen umfassenden Überblick über die Branche zu verschaffen. Im November </w:t>
      </w:r>
      <w:proofErr w:type="gramStart"/>
      <w:r w:rsidRPr="00250526">
        <w:rPr>
          <w:rFonts w:eastAsia="Times New Roman" w:cs="Times New Roman"/>
          <w:color w:val="000000"/>
          <w:sz w:val="22"/>
          <w:szCs w:val="24"/>
          <w:lang w:val="de-DE" w:eastAsia="zh-CN"/>
        </w:rPr>
        <w:t>diesen Jahres</w:t>
      </w:r>
      <w:proofErr w:type="gramEnd"/>
      <w:r w:rsidRPr="00250526">
        <w:rPr>
          <w:rFonts w:eastAsia="Times New Roman" w:cs="Times New Roman"/>
          <w:color w:val="000000"/>
          <w:sz w:val="22"/>
          <w:szCs w:val="24"/>
          <w:lang w:val="de-DE" w:eastAsia="zh-CN"/>
        </w:rPr>
        <w:t xml:space="preserve"> liegt der Schwerpunkt vorwiegend auf dem Automobilsektor und den Embedded Systems, zwei Bereichen, in denen SECO Jahr für Jahr kontinuierlich wächst.</w:t>
      </w:r>
    </w:p>
    <w:p w:rsidR="00250526" w:rsidRPr="00250526" w:rsidRDefault="00250526" w:rsidP="00250526">
      <w:pPr>
        <w:keepLines w:val="0"/>
        <w:spacing w:after="0" w:line="240" w:lineRule="auto"/>
        <w:jc w:val="left"/>
        <w:rPr>
          <w:rFonts w:eastAsia="Times New Roman" w:cs="Times New Roman"/>
          <w:sz w:val="22"/>
          <w:szCs w:val="24"/>
          <w:lang w:val="de-DE" w:eastAsia="zh-CN"/>
        </w:rPr>
      </w:pPr>
    </w:p>
    <w:p w:rsidR="00250526" w:rsidRPr="00250526" w:rsidRDefault="00250526" w:rsidP="00250526">
      <w:pPr>
        <w:keepLines w:val="0"/>
        <w:spacing w:after="0" w:line="240" w:lineRule="auto"/>
        <w:rPr>
          <w:rFonts w:eastAsia="Times New Roman" w:cs="Arial"/>
          <w:color w:val="222222"/>
          <w:sz w:val="22"/>
          <w:szCs w:val="24"/>
          <w:lang w:val="de-DE" w:eastAsia="zh-CN"/>
        </w:rPr>
      </w:pPr>
      <w:r w:rsidRPr="00250526">
        <w:rPr>
          <w:rFonts w:eastAsia="Times New Roman" w:cs="Times New Roman"/>
          <w:b/>
          <w:color w:val="000000"/>
          <w:sz w:val="22"/>
          <w:szCs w:val="24"/>
          <w:lang w:val="de-DE" w:eastAsia="zh-CN"/>
        </w:rPr>
        <w:t>SECO</w:t>
      </w:r>
      <w:r w:rsidRPr="00250526">
        <w:rPr>
          <w:rFonts w:eastAsia="Times New Roman" w:cs="Times New Roman"/>
          <w:color w:val="000000"/>
          <w:sz w:val="22"/>
          <w:szCs w:val="24"/>
          <w:lang w:val="de-DE" w:eastAsia="zh-CN"/>
        </w:rPr>
        <w:t xml:space="preserve">, ein Benchmark-Unternehmen im Bereich der eingebetteten Elektronik und langjähriger Aussteller auf der </w:t>
      </w:r>
      <w:proofErr w:type="spellStart"/>
      <w:r w:rsidRPr="00250526">
        <w:rPr>
          <w:rFonts w:eastAsia="Times New Roman" w:cs="Times New Roman"/>
          <w:color w:val="000000"/>
          <w:sz w:val="22"/>
          <w:szCs w:val="24"/>
          <w:lang w:val="de-DE" w:eastAsia="zh-CN"/>
        </w:rPr>
        <w:t>electronica</w:t>
      </w:r>
      <w:proofErr w:type="spellEnd"/>
      <w:r w:rsidRPr="00250526">
        <w:rPr>
          <w:rFonts w:eastAsia="Times New Roman" w:cs="Times New Roman"/>
          <w:color w:val="000000"/>
          <w:sz w:val="22"/>
          <w:szCs w:val="24"/>
          <w:lang w:val="de-DE" w:eastAsia="zh-CN"/>
        </w:rPr>
        <w:t xml:space="preserve">, wird sein umfangreiches Produktangebot vor mehr als 70.000 Besuchern aus 84 Ländern zur Schau stellen. SECO wird seine Auswahl an Computer-on-Modules und Einplatinencomputern am </w:t>
      </w:r>
      <w:r w:rsidRPr="00250526">
        <w:rPr>
          <w:rFonts w:eastAsia="Times New Roman" w:cs="Times New Roman"/>
          <w:b/>
          <w:color w:val="000000"/>
          <w:sz w:val="22"/>
          <w:szCs w:val="24"/>
          <w:lang w:val="de-DE" w:eastAsia="zh-CN"/>
        </w:rPr>
        <w:t xml:space="preserve">Stand </w:t>
      </w:r>
      <w:proofErr w:type="spellStart"/>
      <w:r w:rsidRPr="00250526">
        <w:rPr>
          <w:rFonts w:eastAsia="Times New Roman" w:cs="Times New Roman"/>
          <w:b/>
          <w:bCs/>
          <w:color w:val="222222"/>
          <w:sz w:val="22"/>
          <w:szCs w:val="24"/>
          <w:lang w:val="de-DE" w:eastAsia="zh-CN"/>
        </w:rPr>
        <w:t>B5.111</w:t>
      </w:r>
      <w:proofErr w:type="spellEnd"/>
      <w:r w:rsidRPr="00250526">
        <w:rPr>
          <w:rFonts w:eastAsia="Times New Roman" w:cs="Times New Roman"/>
          <w:color w:val="222222"/>
          <w:sz w:val="22"/>
          <w:szCs w:val="24"/>
          <w:lang w:val="de-DE" w:eastAsia="zh-CN"/>
        </w:rPr>
        <w:t xml:space="preserve"> ausstellen. Es gibt nicht nur Hardware-Produkte: SECO wird auch seine Dienstleistungen wie die Anpassung von Computerplattformen, Softwareanpassung, Systemintegration und -montage sowie das Software-Framework „</w:t>
      </w:r>
      <w:proofErr w:type="spellStart"/>
      <w:r w:rsidRPr="00250526">
        <w:rPr>
          <w:rFonts w:eastAsia="Times New Roman" w:cs="Times New Roman"/>
          <w:color w:val="222222"/>
          <w:sz w:val="22"/>
          <w:szCs w:val="24"/>
          <w:lang w:val="de-DE" w:eastAsia="zh-CN"/>
        </w:rPr>
        <w:t>IoT</w:t>
      </w:r>
      <w:proofErr w:type="spellEnd"/>
      <w:r w:rsidRPr="00250526">
        <w:rPr>
          <w:rFonts w:eastAsia="Times New Roman" w:cs="Times New Roman"/>
          <w:color w:val="222222"/>
          <w:sz w:val="22"/>
          <w:szCs w:val="24"/>
          <w:lang w:val="de-DE" w:eastAsia="zh-CN"/>
        </w:rPr>
        <w:t>-</w:t>
      </w:r>
      <w:proofErr w:type="spellStart"/>
      <w:r w:rsidRPr="00250526">
        <w:rPr>
          <w:rFonts w:eastAsia="Times New Roman" w:cs="Times New Roman"/>
          <w:color w:val="222222"/>
          <w:sz w:val="22"/>
          <w:szCs w:val="24"/>
          <w:lang w:val="de-DE" w:eastAsia="zh-CN"/>
        </w:rPr>
        <w:t>as</w:t>
      </w:r>
      <w:proofErr w:type="spellEnd"/>
      <w:r w:rsidRPr="00250526">
        <w:rPr>
          <w:rFonts w:eastAsia="Times New Roman" w:cs="Times New Roman"/>
          <w:color w:val="222222"/>
          <w:sz w:val="22"/>
          <w:szCs w:val="24"/>
          <w:lang w:val="de-DE" w:eastAsia="zh-CN"/>
        </w:rPr>
        <w:t xml:space="preserve">-a-Service“ präsentieren, um das </w:t>
      </w:r>
      <w:proofErr w:type="spellStart"/>
      <w:r w:rsidRPr="00250526">
        <w:rPr>
          <w:rFonts w:eastAsia="Times New Roman" w:cs="Times New Roman"/>
          <w:color w:val="222222"/>
          <w:sz w:val="22"/>
          <w:szCs w:val="24"/>
          <w:lang w:val="de-DE" w:eastAsia="zh-CN"/>
        </w:rPr>
        <w:t>IoT</w:t>
      </w:r>
      <w:proofErr w:type="spellEnd"/>
      <w:r w:rsidRPr="00250526">
        <w:rPr>
          <w:rFonts w:eastAsia="Times New Roman" w:cs="Times New Roman"/>
          <w:color w:val="222222"/>
          <w:sz w:val="22"/>
          <w:szCs w:val="24"/>
          <w:lang w:val="de-DE" w:eastAsia="zh-CN"/>
        </w:rPr>
        <w:t xml:space="preserve"> des Kunden für sein jeweiliges Geschäft aufzustellen. Das Nutzerversprechen von SECO besteht darin, den Kunden einen vollständigen, ganzheitlichen Ansatz anzubieten, der Hardware, Software und Dienstleistungen umfasst.</w:t>
      </w:r>
    </w:p>
    <w:p w:rsidR="00250526" w:rsidRPr="00250526" w:rsidRDefault="00250526" w:rsidP="00250526">
      <w:pPr>
        <w:keepLines w:val="0"/>
        <w:spacing w:after="0" w:line="240" w:lineRule="auto"/>
        <w:jc w:val="left"/>
        <w:rPr>
          <w:rFonts w:eastAsia="Times New Roman" w:cs="Times New Roman"/>
          <w:sz w:val="22"/>
          <w:szCs w:val="24"/>
          <w:lang w:val="de-DE" w:eastAsia="zh-CN"/>
        </w:rPr>
      </w:pPr>
    </w:p>
    <w:p w:rsidR="00250526" w:rsidRPr="00250526" w:rsidRDefault="00250526" w:rsidP="00250526">
      <w:pPr>
        <w:keepLines w:val="0"/>
        <w:spacing w:after="0" w:line="240" w:lineRule="auto"/>
        <w:jc w:val="left"/>
        <w:rPr>
          <w:rFonts w:eastAsia="Times New Roman" w:cs="Times New Roman"/>
          <w:sz w:val="22"/>
          <w:szCs w:val="24"/>
          <w:lang w:val="de-DE" w:eastAsia="zh-CN"/>
        </w:rPr>
      </w:pPr>
    </w:p>
    <w:p w:rsidR="00250526" w:rsidRPr="00250526" w:rsidRDefault="00250526" w:rsidP="00250526">
      <w:pPr>
        <w:keepLines w:val="0"/>
        <w:spacing w:after="0" w:line="240" w:lineRule="auto"/>
        <w:rPr>
          <w:rFonts w:eastAsia="Times New Roman" w:cs="Arial"/>
          <w:color w:val="222222"/>
          <w:sz w:val="22"/>
          <w:szCs w:val="24"/>
          <w:lang w:val="de-DE" w:eastAsia="zh-CN"/>
        </w:rPr>
      </w:pPr>
      <w:r w:rsidRPr="00250526">
        <w:rPr>
          <w:rFonts w:eastAsia="Times New Roman" w:cs="Times New Roman"/>
          <w:color w:val="222222"/>
          <w:sz w:val="22"/>
          <w:szCs w:val="24"/>
          <w:lang w:val="de-DE" w:eastAsia="zh-CN"/>
        </w:rPr>
        <w:t>Vor allem wird SECO die skalierbaren Multi-Core-Lösungen auf Basis der</w:t>
      </w:r>
      <w:r w:rsidRPr="00250526">
        <w:rPr>
          <w:rFonts w:eastAsia="Times New Roman" w:cs="Times New Roman"/>
          <w:b/>
          <w:color w:val="222222"/>
          <w:sz w:val="22"/>
          <w:szCs w:val="24"/>
          <w:lang w:val="de-DE" w:eastAsia="zh-CN"/>
        </w:rPr>
        <w:t xml:space="preserve"> Anwendungsprozessoren der Serie NXP i.MX 8</w:t>
      </w:r>
      <w:r w:rsidRPr="00250526">
        <w:rPr>
          <w:rFonts w:eastAsia="Times New Roman" w:cs="Times New Roman"/>
          <w:color w:val="222222"/>
          <w:sz w:val="22"/>
          <w:szCs w:val="24"/>
          <w:lang w:val="de-DE" w:eastAsia="zh-CN"/>
        </w:rPr>
        <w:t xml:space="preserve"> für fortschrittliche Grafik-, </w:t>
      </w:r>
      <w:proofErr w:type="spellStart"/>
      <w:r w:rsidRPr="00250526">
        <w:rPr>
          <w:rFonts w:eastAsia="Times New Roman" w:cs="Times New Roman"/>
          <w:color w:val="222222"/>
          <w:sz w:val="22"/>
          <w:szCs w:val="24"/>
          <w:lang w:val="de-DE" w:eastAsia="zh-CN"/>
        </w:rPr>
        <w:t>HMI</w:t>
      </w:r>
      <w:proofErr w:type="spellEnd"/>
      <w:r w:rsidRPr="00250526">
        <w:rPr>
          <w:rFonts w:eastAsia="Times New Roman" w:cs="Times New Roman"/>
          <w:color w:val="222222"/>
          <w:sz w:val="22"/>
          <w:szCs w:val="24"/>
          <w:lang w:val="de-DE" w:eastAsia="zh-CN"/>
        </w:rPr>
        <w:t xml:space="preserve">-, </w:t>
      </w:r>
      <w:proofErr w:type="spellStart"/>
      <w:r w:rsidRPr="00250526">
        <w:rPr>
          <w:rFonts w:eastAsia="Times New Roman" w:cs="Times New Roman"/>
          <w:color w:val="222222"/>
          <w:sz w:val="22"/>
          <w:szCs w:val="24"/>
          <w:lang w:val="de-DE" w:eastAsia="zh-CN"/>
        </w:rPr>
        <w:t>IoT</w:t>
      </w:r>
      <w:proofErr w:type="spellEnd"/>
      <w:r w:rsidRPr="00250526">
        <w:rPr>
          <w:rFonts w:eastAsia="Times New Roman" w:cs="Times New Roman"/>
          <w:color w:val="222222"/>
          <w:sz w:val="22"/>
          <w:szCs w:val="24"/>
          <w:lang w:val="de-DE" w:eastAsia="zh-CN"/>
        </w:rPr>
        <w:t xml:space="preserve">- und Steuerungsanwendungen sowie die industriellen Lösungen auf Basis der </w:t>
      </w:r>
      <w:proofErr w:type="spellStart"/>
      <w:r w:rsidRPr="00250526">
        <w:rPr>
          <w:rFonts w:eastAsia="Times New Roman" w:cs="Times New Roman"/>
          <w:b/>
          <w:color w:val="222222"/>
          <w:sz w:val="22"/>
          <w:szCs w:val="24"/>
          <w:lang w:val="de-DE" w:eastAsia="zh-CN"/>
        </w:rPr>
        <w:t>Zynq</w:t>
      </w:r>
      <w:proofErr w:type="spellEnd"/>
      <w:r w:rsidRPr="00250526">
        <w:rPr>
          <w:rFonts w:eastAsia="Times New Roman" w:cs="Times New Roman"/>
          <w:b/>
          <w:color w:val="222222"/>
          <w:sz w:val="22"/>
          <w:szCs w:val="24"/>
          <w:lang w:val="de-DE" w:eastAsia="zh-CN"/>
        </w:rPr>
        <w:t xml:space="preserve"> </w:t>
      </w:r>
      <w:proofErr w:type="spellStart"/>
      <w:r w:rsidRPr="00250526">
        <w:rPr>
          <w:rFonts w:eastAsia="Times New Roman" w:cs="Times New Roman"/>
          <w:b/>
          <w:color w:val="222222"/>
          <w:sz w:val="22"/>
          <w:szCs w:val="24"/>
          <w:lang w:val="de-DE" w:eastAsia="zh-CN"/>
        </w:rPr>
        <w:t>UltraScale</w:t>
      </w:r>
      <w:proofErr w:type="spellEnd"/>
      <w:r w:rsidRPr="00250526">
        <w:rPr>
          <w:rFonts w:eastAsia="Times New Roman" w:cs="Times New Roman"/>
          <w:b/>
          <w:color w:val="222222"/>
          <w:sz w:val="22"/>
          <w:szCs w:val="24"/>
          <w:lang w:val="de-DE" w:eastAsia="zh-CN"/>
        </w:rPr>
        <w:t xml:space="preserve">+ </w:t>
      </w:r>
      <w:proofErr w:type="spellStart"/>
      <w:r w:rsidR="00D90277" w:rsidRPr="00250526">
        <w:rPr>
          <w:rFonts w:eastAsia="Times New Roman" w:cs="Times New Roman"/>
          <w:b/>
          <w:color w:val="222222"/>
          <w:sz w:val="22"/>
          <w:szCs w:val="24"/>
          <w:lang w:val="de-DE" w:eastAsia="zh-CN"/>
        </w:rPr>
        <w:t>MPSoCs</w:t>
      </w:r>
      <w:proofErr w:type="spellEnd"/>
      <w:r w:rsidR="00D90277" w:rsidRPr="00250526">
        <w:rPr>
          <w:rFonts w:eastAsia="Times New Roman" w:cs="Times New Roman"/>
          <w:b/>
          <w:color w:val="222222"/>
          <w:sz w:val="22"/>
          <w:szCs w:val="24"/>
          <w:lang w:val="de-DE" w:eastAsia="zh-CN"/>
        </w:rPr>
        <w:t xml:space="preserve"> </w:t>
      </w:r>
      <w:r w:rsidRPr="00250526">
        <w:rPr>
          <w:rFonts w:eastAsia="Times New Roman" w:cs="Times New Roman"/>
          <w:b/>
          <w:color w:val="222222"/>
          <w:sz w:val="22"/>
          <w:szCs w:val="24"/>
          <w:lang w:val="de-DE" w:eastAsia="zh-CN"/>
        </w:rPr>
        <w:t xml:space="preserve">von </w:t>
      </w:r>
      <w:proofErr w:type="spellStart"/>
      <w:r w:rsidRPr="00250526">
        <w:rPr>
          <w:rFonts w:eastAsia="Times New Roman" w:cs="Times New Roman"/>
          <w:b/>
          <w:color w:val="222222"/>
          <w:sz w:val="22"/>
          <w:szCs w:val="24"/>
          <w:lang w:val="de-DE" w:eastAsia="zh-CN"/>
        </w:rPr>
        <w:t>Xilinx</w:t>
      </w:r>
      <w:proofErr w:type="spellEnd"/>
      <w:r w:rsidRPr="00250526">
        <w:rPr>
          <w:rFonts w:eastAsia="Times New Roman" w:cs="Times New Roman"/>
          <w:color w:val="222222"/>
          <w:sz w:val="22"/>
          <w:szCs w:val="24"/>
          <w:lang w:val="de-DE" w:eastAsia="zh-CN"/>
        </w:rPr>
        <w:t xml:space="preserve"> präsentieren. All diese Lösungen zeichnen sich durch optimale Skalierbarkeit, fortschrittliche Grafikleistung und außergewöhnliche Energieeffizienz aus. Zusammen bilden sie die industrielle ARM-basierte Standardlösung von SECO und haben alle die gleichen Kernaspekte gemeinsam: asymmetrische Multi-Core-Verarbeitung, industrielle Bildverarbeitung, 4K-Videoverarbeitung und dedizierte Echtzeitkerne.</w:t>
      </w:r>
    </w:p>
    <w:p w:rsidR="00250526" w:rsidRPr="00250526" w:rsidRDefault="00250526" w:rsidP="00250526">
      <w:pPr>
        <w:keepLines w:val="0"/>
        <w:spacing w:after="0" w:line="240" w:lineRule="auto"/>
        <w:rPr>
          <w:rFonts w:eastAsia="Times New Roman" w:cs="Arial"/>
          <w:color w:val="222222"/>
          <w:sz w:val="22"/>
          <w:szCs w:val="24"/>
          <w:lang w:val="de-DE" w:eastAsia="zh-CN"/>
        </w:rPr>
      </w:pPr>
    </w:p>
    <w:p w:rsidR="00250526" w:rsidRPr="00250526" w:rsidRDefault="00250526" w:rsidP="00250526">
      <w:pPr>
        <w:keepLines w:val="0"/>
        <w:spacing w:after="0" w:line="240" w:lineRule="auto"/>
        <w:rPr>
          <w:rFonts w:eastAsia="Times New Roman" w:cs="Arial"/>
          <w:color w:val="222222"/>
          <w:sz w:val="22"/>
          <w:szCs w:val="24"/>
          <w:lang w:val="de-DE" w:eastAsia="zh-CN"/>
        </w:rPr>
      </w:pPr>
    </w:p>
    <w:p w:rsidR="00250526" w:rsidRPr="00250526" w:rsidRDefault="00250526" w:rsidP="00250526">
      <w:pPr>
        <w:keepLines w:val="0"/>
        <w:spacing w:after="0" w:line="240" w:lineRule="auto"/>
        <w:rPr>
          <w:rFonts w:eastAsia="Times New Roman" w:cs="Arial"/>
          <w:color w:val="222222"/>
          <w:sz w:val="22"/>
          <w:szCs w:val="24"/>
          <w:lang w:val="de-DE" w:eastAsia="zh-CN"/>
        </w:rPr>
      </w:pPr>
      <w:r w:rsidRPr="00250526">
        <w:rPr>
          <w:rFonts w:eastAsia="Times New Roman" w:cs="Times New Roman"/>
          <w:color w:val="222222"/>
          <w:sz w:val="22"/>
          <w:szCs w:val="24"/>
          <w:lang w:val="de-DE" w:eastAsia="zh-CN"/>
        </w:rPr>
        <w:t>Die Anwendungsprozessoren der Serie NXP i.MX 8</w:t>
      </w:r>
      <w:r w:rsidR="00D90277">
        <w:rPr>
          <w:rFonts w:eastAsia="Times New Roman" w:cs="Times New Roman"/>
          <w:color w:val="222222"/>
          <w:sz w:val="22"/>
          <w:szCs w:val="24"/>
          <w:lang w:val="de-DE" w:eastAsia="zh-CN"/>
        </w:rPr>
        <w:t>M</w:t>
      </w:r>
      <w:r w:rsidRPr="00250526">
        <w:rPr>
          <w:rFonts w:eastAsia="Times New Roman" w:cs="Times New Roman"/>
          <w:color w:val="222222"/>
          <w:sz w:val="22"/>
          <w:szCs w:val="24"/>
          <w:lang w:val="de-DE" w:eastAsia="zh-CN"/>
        </w:rPr>
        <w:t xml:space="preserve"> stellen einen großen Fortschritt im Hinblick auf Grafik-, </w:t>
      </w:r>
      <w:proofErr w:type="spellStart"/>
      <w:r w:rsidRPr="00250526">
        <w:rPr>
          <w:rFonts w:eastAsia="Times New Roman" w:cs="Times New Roman"/>
          <w:color w:val="222222"/>
          <w:sz w:val="22"/>
          <w:szCs w:val="24"/>
          <w:lang w:val="de-DE" w:eastAsia="zh-CN"/>
        </w:rPr>
        <w:t>HMI</w:t>
      </w:r>
      <w:proofErr w:type="spellEnd"/>
      <w:r w:rsidRPr="00250526">
        <w:rPr>
          <w:rFonts w:eastAsia="Times New Roman" w:cs="Times New Roman"/>
          <w:color w:val="222222"/>
          <w:sz w:val="22"/>
          <w:szCs w:val="24"/>
          <w:lang w:val="de-DE" w:eastAsia="zh-CN"/>
        </w:rPr>
        <w:t xml:space="preserve">-, </w:t>
      </w:r>
      <w:proofErr w:type="spellStart"/>
      <w:r w:rsidRPr="00250526">
        <w:rPr>
          <w:rFonts w:eastAsia="Times New Roman" w:cs="Times New Roman"/>
          <w:color w:val="222222"/>
          <w:sz w:val="22"/>
          <w:szCs w:val="24"/>
          <w:lang w:val="de-DE" w:eastAsia="zh-CN"/>
        </w:rPr>
        <w:t>IoT</w:t>
      </w:r>
      <w:proofErr w:type="spellEnd"/>
      <w:r w:rsidRPr="00250526">
        <w:rPr>
          <w:rFonts w:eastAsia="Times New Roman" w:cs="Times New Roman"/>
          <w:color w:val="222222"/>
          <w:sz w:val="22"/>
          <w:szCs w:val="24"/>
          <w:lang w:val="de-DE" w:eastAsia="zh-CN"/>
        </w:rPr>
        <w:t>- und Steuerungsanwendungen dar. Die Serie bietet die beste Videoleistung ihrer Klas</w:t>
      </w:r>
      <w:r w:rsidR="00D90277">
        <w:rPr>
          <w:rFonts w:eastAsia="Times New Roman" w:cs="Times New Roman"/>
          <w:color w:val="222222"/>
          <w:sz w:val="22"/>
          <w:szCs w:val="24"/>
          <w:lang w:val="de-DE" w:eastAsia="zh-CN"/>
        </w:rPr>
        <w:t>se und unterstützt 4K-Auflösung und</w:t>
      </w:r>
      <w:r w:rsidRPr="00250526">
        <w:rPr>
          <w:rFonts w:eastAsia="Times New Roman" w:cs="Times New Roman"/>
          <w:color w:val="222222"/>
          <w:sz w:val="22"/>
          <w:szCs w:val="24"/>
          <w:lang w:val="de-DE" w:eastAsia="zh-CN"/>
        </w:rPr>
        <w:t xml:space="preserve"> HDR</w:t>
      </w:r>
      <w:r w:rsidR="00D90277">
        <w:rPr>
          <w:rFonts w:eastAsia="Times New Roman" w:cs="Times New Roman"/>
          <w:color w:val="222222"/>
          <w:sz w:val="22"/>
          <w:szCs w:val="24"/>
          <w:lang w:val="de-DE" w:eastAsia="zh-CN"/>
        </w:rPr>
        <w:t xml:space="preserve">, </w:t>
      </w:r>
      <w:r w:rsidRPr="00250526">
        <w:rPr>
          <w:rFonts w:eastAsia="Times New Roman" w:cs="Times New Roman"/>
          <w:color w:val="222222"/>
          <w:sz w:val="22"/>
          <w:szCs w:val="24"/>
          <w:lang w:val="de-DE" w:eastAsia="zh-CN"/>
        </w:rPr>
        <w:t xml:space="preserve">skalierbare GPU-Leistung der nächsten Generation und hohe Leistung bei geringem Energieverbrauch. Im Vergleich zur i.MX </w:t>
      </w:r>
      <w:r w:rsidRPr="00250526">
        <w:rPr>
          <w:rFonts w:eastAsia="Times New Roman" w:cs="Times New Roman"/>
          <w:color w:val="222222"/>
          <w:sz w:val="22"/>
          <w:szCs w:val="24"/>
          <w:lang w:val="de-DE" w:eastAsia="zh-CN"/>
        </w:rPr>
        <w:lastRenderedPageBreak/>
        <w:t>6-Serie ist die i.MX 8M-Serie eine Revolution sowohl in puncto Leistung – mit bis zu eineinhalbfacher CPU- und GPU-Leistung – als auch in puncto Energieeffizienz mit einem Leistungsverbrauch von 3,8 W, 15 % weniger als die i.MX 6-Serie. Auch die Flexibilität wird durch Neuerungen wie den M4 gesteigert. Gleiches gilt für die VPU, die H265 4kp60 HDR unterstützt.</w:t>
      </w:r>
    </w:p>
    <w:p w:rsidR="00250526" w:rsidRPr="00250526" w:rsidRDefault="00250526" w:rsidP="00250526">
      <w:pPr>
        <w:keepLines w:val="0"/>
        <w:spacing w:after="0" w:line="240" w:lineRule="auto"/>
        <w:jc w:val="left"/>
        <w:rPr>
          <w:rFonts w:eastAsia="Times New Roman" w:cs="Times New Roman"/>
          <w:sz w:val="22"/>
          <w:szCs w:val="24"/>
          <w:lang w:val="de-DE" w:eastAsia="zh-CN"/>
        </w:rPr>
      </w:pPr>
    </w:p>
    <w:p w:rsidR="00250526" w:rsidRPr="00250526" w:rsidRDefault="00250526" w:rsidP="00250526">
      <w:pPr>
        <w:keepLines w:val="0"/>
        <w:spacing w:after="0" w:line="240" w:lineRule="auto"/>
        <w:rPr>
          <w:rFonts w:eastAsia="Times New Roman" w:cs="Arial"/>
          <w:color w:val="222222"/>
          <w:sz w:val="22"/>
          <w:szCs w:val="24"/>
          <w:lang w:val="de-DE" w:eastAsia="zh-CN"/>
        </w:rPr>
      </w:pPr>
      <w:r w:rsidRPr="00250526">
        <w:rPr>
          <w:rFonts w:eastAsia="Times New Roman" w:cs="Times New Roman"/>
          <w:color w:val="222222"/>
          <w:sz w:val="22"/>
          <w:szCs w:val="24"/>
          <w:lang w:val="de-DE" w:eastAsia="zh-CN"/>
        </w:rPr>
        <w:t xml:space="preserve">Was den Formfaktor </w:t>
      </w:r>
      <w:proofErr w:type="spellStart"/>
      <w:r w:rsidRPr="00250526">
        <w:rPr>
          <w:rFonts w:eastAsia="Times New Roman" w:cs="Times New Roman"/>
          <w:color w:val="222222"/>
          <w:sz w:val="22"/>
          <w:szCs w:val="24"/>
          <w:lang w:val="de-DE" w:eastAsia="zh-CN"/>
        </w:rPr>
        <w:t>Qseven</w:t>
      </w:r>
      <w:proofErr w:type="spellEnd"/>
      <w:r w:rsidRPr="00250526">
        <w:rPr>
          <w:rFonts w:eastAsia="Times New Roman" w:cs="Times New Roman"/>
          <w:color w:val="222222"/>
          <w:sz w:val="22"/>
          <w:szCs w:val="24"/>
          <w:lang w:val="de-DE" w:eastAsia="zh-CN"/>
        </w:rPr>
        <w:t xml:space="preserve">® betrifft, so wird SECO das </w:t>
      </w:r>
      <w:hyperlink r:id="rId8" w:history="1">
        <w:proofErr w:type="spellStart"/>
        <w:r w:rsidRPr="0010701F">
          <w:rPr>
            <w:rStyle w:val="Collegamentoipertestuale"/>
            <w:rFonts w:eastAsia="Times New Roman" w:cs="Times New Roman"/>
            <w:b/>
            <w:sz w:val="22"/>
            <w:szCs w:val="24"/>
            <w:lang w:val="de-DE" w:eastAsia="zh-CN"/>
          </w:rPr>
          <w:t>Q7-C25</w:t>
        </w:r>
        <w:proofErr w:type="spellEnd"/>
      </w:hyperlink>
      <w:r w:rsidRPr="00250526">
        <w:rPr>
          <w:rFonts w:eastAsia="Times New Roman" w:cs="Times New Roman"/>
          <w:bCs/>
          <w:color w:val="000000"/>
          <w:sz w:val="22"/>
          <w:szCs w:val="24"/>
          <w:lang w:val="de-DE" w:eastAsia="zh-CN"/>
        </w:rPr>
        <w:t xml:space="preserve"> und</w:t>
      </w:r>
      <w:r w:rsidRPr="00250526">
        <w:rPr>
          <w:rFonts w:eastAsia="Times New Roman" w:cs="Times New Roman"/>
          <w:b/>
          <w:bCs/>
          <w:color w:val="4472C4"/>
          <w:sz w:val="22"/>
          <w:szCs w:val="24"/>
          <w:lang w:val="de-DE" w:eastAsia="zh-CN"/>
        </w:rPr>
        <w:t xml:space="preserve"> </w:t>
      </w:r>
      <w:hyperlink r:id="rId9" w:history="1">
        <w:proofErr w:type="spellStart"/>
        <w:r w:rsidRPr="0010701F">
          <w:rPr>
            <w:rStyle w:val="Collegamentoipertestuale"/>
            <w:rFonts w:eastAsia="Times New Roman" w:cs="Times New Roman"/>
            <w:b/>
            <w:bCs/>
            <w:sz w:val="22"/>
            <w:szCs w:val="24"/>
            <w:lang w:val="de-DE" w:eastAsia="zh-CN"/>
          </w:rPr>
          <w:t>Q7-C26</w:t>
        </w:r>
        <w:proofErr w:type="spellEnd"/>
      </w:hyperlink>
      <w:r w:rsidRPr="00250526">
        <w:rPr>
          <w:rFonts w:eastAsia="Times New Roman" w:cs="Times New Roman"/>
          <w:color w:val="222222"/>
          <w:sz w:val="22"/>
          <w:szCs w:val="24"/>
          <w:lang w:val="de-DE" w:eastAsia="zh-CN"/>
        </w:rPr>
        <w:t xml:space="preserve"> ausstellen, von denen ersteres auf Anwendungsprozessoren der NXP i.MX 8M-Serie, letzteres auf Anwendungsprozessoren der NXP i.MX 8-Serie basiert. Beide Module bieten eine hochwertige Grafik mit HEVC-Dekodierung in </w:t>
      </w:r>
      <w:proofErr w:type="spellStart"/>
      <w:r w:rsidRPr="00250526">
        <w:rPr>
          <w:rFonts w:eastAsia="Times New Roman" w:cs="Times New Roman"/>
          <w:color w:val="222222"/>
          <w:sz w:val="22"/>
          <w:szCs w:val="24"/>
          <w:lang w:val="de-DE" w:eastAsia="zh-CN"/>
        </w:rPr>
        <w:t>4Kp60</w:t>
      </w:r>
      <w:proofErr w:type="spellEnd"/>
      <w:r w:rsidRPr="00250526">
        <w:rPr>
          <w:rFonts w:eastAsia="Times New Roman" w:cs="Times New Roman"/>
          <w:color w:val="222222"/>
          <w:sz w:val="22"/>
          <w:szCs w:val="24"/>
          <w:lang w:val="de-DE" w:eastAsia="zh-CN"/>
        </w:rPr>
        <w:t xml:space="preserve"> und eine </w:t>
      </w:r>
      <w:proofErr w:type="spellStart"/>
      <w:r w:rsidRPr="00250526">
        <w:rPr>
          <w:rFonts w:eastAsia="Times New Roman" w:cs="Times New Roman"/>
          <w:color w:val="222222"/>
          <w:sz w:val="22"/>
          <w:szCs w:val="24"/>
          <w:lang w:val="de-DE" w:eastAsia="zh-CN"/>
        </w:rPr>
        <w:t>Full</w:t>
      </w:r>
      <w:proofErr w:type="spellEnd"/>
      <w:r w:rsidRPr="00250526">
        <w:rPr>
          <w:rFonts w:eastAsia="Times New Roman" w:cs="Times New Roman"/>
          <w:color w:val="222222"/>
          <w:sz w:val="22"/>
          <w:szCs w:val="24"/>
          <w:lang w:val="de-DE" w:eastAsia="zh-CN"/>
        </w:rPr>
        <w:t>-Chip-V</w:t>
      </w:r>
      <w:r w:rsidR="00D90277">
        <w:rPr>
          <w:rFonts w:eastAsia="Times New Roman" w:cs="Times New Roman"/>
          <w:color w:val="222222"/>
          <w:sz w:val="22"/>
          <w:szCs w:val="24"/>
          <w:lang w:val="de-DE" w:eastAsia="zh-CN"/>
        </w:rPr>
        <w:t xml:space="preserve">irtualisierung mit HW-Isolation. </w:t>
      </w:r>
      <w:r w:rsidRPr="00250526">
        <w:rPr>
          <w:rFonts w:eastAsia="Times New Roman" w:cs="Times New Roman"/>
          <w:color w:val="222222"/>
          <w:sz w:val="22"/>
          <w:szCs w:val="24"/>
          <w:lang w:val="de-DE" w:eastAsia="zh-CN"/>
        </w:rPr>
        <w:t xml:space="preserve">Beide können bis zu zwei </w:t>
      </w:r>
      <w:r w:rsidR="00D90277">
        <w:rPr>
          <w:rFonts w:eastAsia="Times New Roman" w:cs="Times New Roman"/>
          <w:color w:val="222222"/>
          <w:sz w:val="22"/>
          <w:szCs w:val="24"/>
          <w:lang w:val="de-DE" w:eastAsia="zh-CN"/>
        </w:rPr>
        <w:t>Displays gleichzeitig steuer</w:t>
      </w:r>
      <w:r w:rsidRPr="00250526">
        <w:rPr>
          <w:rFonts w:eastAsia="Times New Roman" w:cs="Times New Roman"/>
          <w:color w:val="222222"/>
          <w:sz w:val="22"/>
          <w:szCs w:val="24"/>
          <w:lang w:val="de-DE" w:eastAsia="zh-CN"/>
        </w:rPr>
        <w:t xml:space="preserve">n. Während das Q7-C25 aufgrund seiner fortgeschrittenen Sicherheits-, </w:t>
      </w:r>
      <w:proofErr w:type="spellStart"/>
      <w:r w:rsidRPr="00250526">
        <w:rPr>
          <w:rFonts w:eastAsia="Times New Roman" w:cs="Times New Roman"/>
          <w:color w:val="222222"/>
          <w:sz w:val="22"/>
          <w:szCs w:val="24"/>
          <w:lang w:val="de-DE" w:eastAsia="zh-CN"/>
        </w:rPr>
        <w:t>Konnektivitäts</w:t>
      </w:r>
      <w:proofErr w:type="spellEnd"/>
      <w:r w:rsidRPr="00250526">
        <w:rPr>
          <w:rFonts w:eastAsia="Times New Roman" w:cs="Times New Roman"/>
          <w:color w:val="222222"/>
          <w:sz w:val="22"/>
          <w:szCs w:val="24"/>
          <w:lang w:val="de-DE" w:eastAsia="zh-CN"/>
        </w:rPr>
        <w:t xml:space="preserve">- und Multimedia-Funktionen eine skalierbare Lösung für Gebäudeautomation und Verkaufsautomaten ist, verfügt das Q7-C26 auch über eine umfangreiche M2M-Schnittstelle zur Steuerung von integrierten Subsystemen und ermöglicht eine erweiterte Konnektivität. Auch der Speicher unterscheidet sich: </w:t>
      </w:r>
      <w:r w:rsidR="009C5DC1">
        <w:rPr>
          <w:rFonts w:eastAsia="Times New Roman" w:cs="Times New Roman"/>
          <w:color w:val="222222"/>
          <w:sz w:val="22"/>
          <w:szCs w:val="24"/>
          <w:lang w:val="de-DE" w:eastAsia="zh-CN"/>
        </w:rPr>
        <w:t>d</w:t>
      </w:r>
      <w:r w:rsidR="009C5DC1" w:rsidRPr="009C5DC1">
        <w:rPr>
          <w:rFonts w:eastAsia="Times New Roman" w:cs="Times New Roman"/>
          <w:color w:val="222222"/>
          <w:sz w:val="22"/>
          <w:szCs w:val="24"/>
          <w:lang w:val="de-DE" w:eastAsia="zh-CN"/>
        </w:rPr>
        <w:t>a</w:t>
      </w:r>
      <w:r w:rsidR="009C5DC1">
        <w:rPr>
          <w:rFonts w:eastAsia="Times New Roman" w:cs="Times New Roman"/>
          <w:color w:val="222222"/>
          <w:sz w:val="22"/>
          <w:szCs w:val="24"/>
          <w:lang w:val="de-DE" w:eastAsia="zh-CN"/>
        </w:rPr>
        <w:t xml:space="preserve">s Q7-C25 verfügt über einen DDR4 </w:t>
      </w:r>
      <w:r w:rsidR="009C5DC1" w:rsidRPr="009C5DC1">
        <w:rPr>
          <w:rFonts w:eastAsia="Times New Roman" w:cs="Times New Roman"/>
          <w:color w:val="222222"/>
          <w:sz w:val="22"/>
          <w:szCs w:val="24"/>
          <w:lang w:val="de-DE" w:eastAsia="zh-CN"/>
        </w:rPr>
        <w:t>32-bit-Speicher, das Q7-C26 über eine</w:t>
      </w:r>
      <w:r w:rsidR="009C5DC1">
        <w:rPr>
          <w:rFonts w:eastAsia="Times New Roman" w:cs="Times New Roman"/>
          <w:color w:val="222222"/>
          <w:sz w:val="22"/>
          <w:szCs w:val="24"/>
          <w:lang w:val="de-DE" w:eastAsia="zh-CN"/>
        </w:rPr>
        <w:t>n</w:t>
      </w:r>
      <w:r w:rsidR="009C5DC1" w:rsidRPr="009C5DC1">
        <w:rPr>
          <w:rFonts w:eastAsia="Times New Roman" w:cs="Times New Roman"/>
          <w:color w:val="222222"/>
          <w:sz w:val="22"/>
          <w:szCs w:val="24"/>
          <w:lang w:val="de-DE" w:eastAsia="zh-CN"/>
        </w:rPr>
        <w:t xml:space="preserve"> LPDDR4 64-bit-Speicher.</w:t>
      </w:r>
      <w:r w:rsidRPr="00250526">
        <w:rPr>
          <w:rFonts w:eastAsia="Times New Roman" w:cs="Times New Roman"/>
          <w:color w:val="222222"/>
          <w:sz w:val="22"/>
          <w:szCs w:val="24"/>
          <w:lang w:val="de-DE" w:eastAsia="zh-CN"/>
        </w:rPr>
        <w:t xml:space="preserve"> Hinsichtlich des Massenspeichers ist das Q7-C26 außerdem etwas besser: </w:t>
      </w:r>
      <w:r w:rsidR="009C5DC1">
        <w:rPr>
          <w:rFonts w:eastAsia="Times New Roman" w:cs="Times New Roman"/>
          <w:color w:val="222222"/>
          <w:sz w:val="22"/>
          <w:szCs w:val="24"/>
          <w:lang w:val="de-DE" w:eastAsia="zh-CN"/>
        </w:rPr>
        <w:t>b</w:t>
      </w:r>
      <w:r w:rsidRPr="00250526">
        <w:rPr>
          <w:rFonts w:eastAsia="Times New Roman" w:cs="Times New Roman"/>
          <w:color w:val="222222"/>
          <w:sz w:val="22"/>
          <w:szCs w:val="24"/>
          <w:lang w:val="de-DE" w:eastAsia="zh-CN"/>
        </w:rPr>
        <w:t xml:space="preserve">eide verfügen über eine SD 4-Bit-Schnittstelle und einen angelöteten </w:t>
      </w:r>
      <w:proofErr w:type="spellStart"/>
      <w:r w:rsidRPr="00250526">
        <w:rPr>
          <w:rFonts w:eastAsia="Times New Roman" w:cs="Times New Roman"/>
          <w:color w:val="222222"/>
          <w:sz w:val="22"/>
          <w:szCs w:val="24"/>
          <w:lang w:val="de-DE" w:eastAsia="zh-CN"/>
        </w:rPr>
        <w:t>QSPI</w:t>
      </w:r>
      <w:proofErr w:type="spellEnd"/>
      <w:r w:rsidRPr="00250526">
        <w:rPr>
          <w:rFonts w:eastAsia="Times New Roman" w:cs="Times New Roman"/>
          <w:color w:val="222222"/>
          <w:sz w:val="22"/>
          <w:szCs w:val="24"/>
          <w:lang w:val="de-DE" w:eastAsia="zh-CN"/>
        </w:rPr>
        <w:t xml:space="preserve">-Flash-Speicher, </w:t>
      </w:r>
      <w:r w:rsidR="00FF59B2">
        <w:rPr>
          <w:rFonts w:eastAsia="Times New Roman" w:cs="Times New Roman"/>
          <w:color w:val="222222"/>
          <w:sz w:val="22"/>
          <w:szCs w:val="24"/>
          <w:lang w:val="de-DE" w:eastAsia="zh-CN"/>
        </w:rPr>
        <w:t>sowie</w:t>
      </w:r>
      <w:r w:rsidRPr="00250526">
        <w:rPr>
          <w:rFonts w:eastAsia="Times New Roman" w:cs="Times New Roman"/>
          <w:color w:val="222222"/>
          <w:sz w:val="22"/>
          <w:szCs w:val="24"/>
          <w:lang w:val="de-DE" w:eastAsia="zh-CN"/>
        </w:rPr>
        <w:t xml:space="preserve"> einer </w:t>
      </w:r>
      <w:proofErr w:type="spellStart"/>
      <w:r w:rsidRPr="00250526">
        <w:rPr>
          <w:rFonts w:eastAsia="Times New Roman" w:cs="Times New Roman"/>
          <w:color w:val="222222"/>
          <w:sz w:val="22"/>
          <w:szCs w:val="24"/>
          <w:lang w:val="de-DE" w:eastAsia="zh-CN"/>
        </w:rPr>
        <w:t>eMMC</w:t>
      </w:r>
      <w:proofErr w:type="spellEnd"/>
      <w:r w:rsidRPr="00250526">
        <w:rPr>
          <w:rFonts w:eastAsia="Times New Roman" w:cs="Times New Roman"/>
          <w:color w:val="222222"/>
          <w:sz w:val="22"/>
          <w:szCs w:val="24"/>
          <w:lang w:val="de-DE" w:eastAsia="zh-CN"/>
        </w:rPr>
        <w:t xml:space="preserve">, aber die </w:t>
      </w:r>
      <w:proofErr w:type="spellStart"/>
      <w:r w:rsidRPr="00250526">
        <w:rPr>
          <w:rFonts w:eastAsia="Times New Roman" w:cs="Times New Roman"/>
          <w:color w:val="222222"/>
          <w:sz w:val="22"/>
          <w:szCs w:val="24"/>
          <w:lang w:val="de-DE" w:eastAsia="zh-CN"/>
        </w:rPr>
        <w:t>eMMC</w:t>
      </w:r>
      <w:proofErr w:type="spellEnd"/>
      <w:r w:rsidRPr="00250526">
        <w:rPr>
          <w:rFonts w:eastAsia="Times New Roman" w:cs="Times New Roman"/>
          <w:color w:val="222222"/>
          <w:sz w:val="22"/>
          <w:szCs w:val="24"/>
          <w:lang w:val="de-DE" w:eastAsia="zh-CN"/>
        </w:rPr>
        <w:t xml:space="preserve"> des Q7-C26 ist vom Typ 5.1. Darüber hinaus verfügt das Q7-C26 über </w:t>
      </w:r>
      <w:r w:rsidR="00FF59B2">
        <w:rPr>
          <w:rFonts w:eastAsia="Times New Roman" w:cs="Times New Roman"/>
          <w:color w:val="222222"/>
          <w:sz w:val="22"/>
          <w:szCs w:val="24"/>
          <w:lang w:val="de-DE" w:eastAsia="zh-CN"/>
        </w:rPr>
        <w:t>eine</w:t>
      </w:r>
      <w:r w:rsidRPr="00250526">
        <w:rPr>
          <w:rFonts w:eastAsia="Times New Roman" w:cs="Times New Roman"/>
          <w:color w:val="222222"/>
          <w:sz w:val="22"/>
          <w:szCs w:val="24"/>
          <w:lang w:val="de-DE" w:eastAsia="zh-CN"/>
        </w:rPr>
        <w:t xml:space="preserve"> SATA Gen3-Schnittstelle.</w:t>
      </w:r>
    </w:p>
    <w:p w:rsidR="00250526" w:rsidRPr="00250526" w:rsidRDefault="00250526" w:rsidP="00250526">
      <w:pPr>
        <w:keepLines w:val="0"/>
        <w:spacing w:after="0" w:line="240" w:lineRule="auto"/>
        <w:rPr>
          <w:rFonts w:eastAsia="Times New Roman" w:cs="Arial"/>
          <w:color w:val="222222"/>
          <w:sz w:val="22"/>
          <w:szCs w:val="24"/>
          <w:lang w:val="de-DE" w:eastAsia="zh-CN"/>
        </w:rPr>
      </w:pPr>
    </w:p>
    <w:p w:rsidR="00250526" w:rsidRPr="00250526" w:rsidRDefault="00250526" w:rsidP="00250526">
      <w:pPr>
        <w:keepLines w:val="0"/>
        <w:spacing w:after="0" w:line="240" w:lineRule="auto"/>
        <w:rPr>
          <w:rFonts w:eastAsia="Times New Roman" w:cs="Arial"/>
          <w:color w:val="222222"/>
          <w:sz w:val="22"/>
          <w:szCs w:val="24"/>
          <w:lang w:val="de-DE" w:eastAsia="zh-CN"/>
        </w:rPr>
      </w:pPr>
      <w:r w:rsidRPr="00250526">
        <w:rPr>
          <w:rFonts w:eastAsia="Times New Roman" w:cs="Times New Roman"/>
          <w:color w:val="222222"/>
          <w:sz w:val="22"/>
          <w:szCs w:val="24"/>
          <w:lang w:val="de-DE" w:eastAsia="zh-CN"/>
        </w:rPr>
        <w:t xml:space="preserve">Auf dem Formfaktor SMARC </w:t>
      </w:r>
      <w:r w:rsidR="00FF59B2">
        <w:rPr>
          <w:rFonts w:eastAsia="Times New Roman" w:cs="Times New Roman"/>
          <w:color w:val="222222"/>
          <w:sz w:val="22"/>
          <w:szCs w:val="24"/>
          <w:lang w:val="de-DE" w:eastAsia="zh-CN"/>
        </w:rPr>
        <w:t>stellt SECO da</w:t>
      </w:r>
      <w:r w:rsidRPr="00250526">
        <w:rPr>
          <w:rFonts w:eastAsia="Times New Roman" w:cs="Times New Roman"/>
          <w:color w:val="222222"/>
          <w:sz w:val="22"/>
          <w:szCs w:val="24"/>
          <w:lang w:val="de-DE" w:eastAsia="zh-CN"/>
        </w:rPr>
        <w:t>s</w:t>
      </w:r>
      <w:r w:rsidRPr="00250526">
        <w:rPr>
          <w:rFonts w:eastAsia="Times New Roman" w:cs="Times New Roman"/>
          <w:b/>
          <w:color w:val="4472C4"/>
          <w:sz w:val="22"/>
          <w:szCs w:val="24"/>
          <w:lang w:val="de-DE" w:eastAsia="zh-CN"/>
        </w:rPr>
        <w:t xml:space="preserve"> </w:t>
      </w:r>
      <w:hyperlink r:id="rId10" w:history="1">
        <w:r w:rsidRPr="0010701F">
          <w:rPr>
            <w:rStyle w:val="Collegamentoipertestuale"/>
            <w:rFonts w:eastAsia="Times New Roman" w:cs="Times New Roman"/>
            <w:b/>
            <w:sz w:val="22"/>
            <w:szCs w:val="24"/>
            <w:lang w:val="de-DE" w:eastAsia="zh-CN"/>
          </w:rPr>
          <w:t>SM-</w:t>
        </w:r>
        <w:proofErr w:type="spellStart"/>
        <w:r w:rsidRPr="0010701F">
          <w:rPr>
            <w:rStyle w:val="Collegamentoipertestuale"/>
            <w:rFonts w:eastAsia="Times New Roman" w:cs="Times New Roman"/>
            <w:b/>
            <w:sz w:val="22"/>
            <w:szCs w:val="24"/>
            <w:lang w:val="de-DE" w:eastAsia="zh-CN"/>
          </w:rPr>
          <w:t>C12</w:t>
        </w:r>
        <w:proofErr w:type="spellEnd"/>
      </w:hyperlink>
      <w:r w:rsidRPr="00250526">
        <w:rPr>
          <w:rFonts w:eastAsia="Times New Roman" w:cs="Times New Roman"/>
          <w:color w:val="222222"/>
          <w:sz w:val="22"/>
          <w:szCs w:val="24"/>
          <w:lang w:val="de-DE" w:eastAsia="zh-CN"/>
        </w:rPr>
        <w:t xml:space="preserve"> auf Basis von Anwendungsprozessoren der NXP i.MX 8M-Serie</w:t>
      </w:r>
      <w:r w:rsidR="00FF59B2">
        <w:rPr>
          <w:rFonts w:eastAsia="Times New Roman" w:cs="Times New Roman"/>
          <w:color w:val="222222"/>
          <w:sz w:val="22"/>
          <w:szCs w:val="24"/>
          <w:lang w:val="de-DE" w:eastAsia="zh-CN"/>
        </w:rPr>
        <w:t xml:space="preserve"> vor</w:t>
      </w:r>
      <w:r w:rsidR="00FD64E2">
        <w:rPr>
          <w:rFonts w:eastAsia="Times New Roman" w:cs="Times New Roman"/>
          <w:color w:val="222222"/>
          <w:sz w:val="22"/>
          <w:szCs w:val="24"/>
          <w:lang w:val="de-DE" w:eastAsia="zh-CN"/>
        </w:rPr>
        <w:t xml:space="preserve"> und aufgelötete LPDDR4 Speicher. </w:t>
      </w:r>
      <w:r w:rsidRPr="00250526">
        <w:rPr>
          <w:rFonts w:eastAsia="Times New Roman" w:cs="Times New Roman"/>
          <w:color w:val="222222"/>
          <w:sz w:val="22"/>
          <w:szCs w:val="24"/>
          <w:lang w:val="de-DE" w:eastAsia="zh-CN"/>
        </w:rPr>
        <w:t xml:space="preserve">Es ermöglicht die HEVC-/VP9-Dekodierung in 4Kp60- und HDR-Auflösung und bietet hervorragende Grafikfunktionen. In Bezug auf die Konnektivität ist auf dem SM-C12 WLAN und BLE </w:t>
      </w:r>
      <w:r w:rsidR="00FF59B2">
        <w:rPr>
          <w:rFonts w:eastAsia="Times New Roman" w:cs="Times New Roman"/>
          <w:color w:val="222222"/>
          <w:sz w:val="22"/>
          <w:szCs w:val="24"/>
          <w:lang w:val="de-DE" w:eastAsia="zh-CN"/>
        </w:rPr>
        <w:t xml:space="preserve">optional </w:t>
      </w:r>
      <w:r w:rsidRPr="00250526">
        <w:rPr>
          <w:rFonts w:eastAsia="Times New Roman" w:cs="Times New Roman"/>
          <w:color w:val="222222"/>
          <w:sz w:val="22"/>
          <w:szCs w:val="24"/>
          <w:lang w:val="de-DE" w:eastAsia="zh-CN"/>
        </w:rPr>
        <w:t>integriert.</w:t>
      </w:r>
    </w:p>
    <w:p w:rsidR="00250526" w:rsidRPr="00250526" w:rsidRDefault="00250526" w:rsidP="00250526">
      <w:pPr>
        <w:keepLines w:val="0"/>
        <w:spacing w:after="0" w:line="240" w:lineRule="auto"/>
        <w:rPr>
          <w:rFonts w:eastAsia="Times New Roman" w:cs="Arial"/>
          <w:color w:val="222222"/>
          <w:sz w:val="22"/>
          <w:szCs w:val="24"/>
          <w:lang w:val="de-DE" w:eastAsia="zh-CN"/>
        </w:rPr>
      </w:pPr>
    </w:p>
    <w:p w:rsidR="00250526" w:rsidRPr="00250526" w:rsidRDefault="00250526" w:rsidP="00250526">
      <w:pPr>
        <w:keepLines w:val="0"/>
        <w:spacing w:after="0" w:line="240" w:lineRule="auto"/>
        <w:rPr>
          <w:rFonts w:eastAsia="Times New Roman" w:cs="Arial"/>
          <w:color w:val="222222"/>
          <w:sz w:val="22"/>
          <w:szCs w:val="24"/>
          <w:lang w:val="de-DE" w:eastAsia="zh-CN"/>
        </w:rPr>
      </w:pPr>
      <w:r w:rsidRPr="00250526">
        <w:rPr>
          <w:rFonts w:eastAsia="Times New Roman" w:cs="Times New Roman"/>
          <w:color w:val="000000"/>
          <w:sz w:val="22"/>
          <w:szCs w:val="24"/>
          <w:lang w:val="de-DE" w:eastAsia="zh-CN"/>
        </w:rPr>
        <w:t xml:space="preserve">Schließlich </w:t>
      </w:r>
      <w:r w:rsidR="00FF59B2">
        <w:rPr>
          <w:rFonts w:eastAsia="Times New Roman" w:cs="Times New Roman"/>
          <w:color w:val="000000"/>
          <w:sz w:val="22"/>
          <w:szCs w:val="24"/>
          <w:lang w:val="de-DE" w:eastAsia="zh-CN"/>
        </w:rPr>
        <w:t>stellt</w:t>
      </w:r>
      <w:r w:rsidRPr="00250526">
        <w:rPr>
          <w:rFonts w:eastAsia="Times New Roman" w:cs="Times New Roman"/>
          <w:color w:val="000000"/>
          <w:sz w:val="22"/>
          <w:szCs w:val="24"/>
          <w:lang w:val="de-DE" w:eastAsia="zh-CN"/>
        </w:rPr>
        <w:t xml:space="preserve"> SECO auch einen SBC vor</w:t>
      </w:r>
      <w:r w:rsidRPr="00250526">
        <w:rPr>
          <w:rFonts w:eastAsia="Times New Roman" w:cs="Times New Roman"/>
          <w:color w:val="222222"/>
          <w:sz w:val="22"/>
          <w:szCs w:val="24"/>
          <w:lang w:val="de-DE" w:eastAsia="zh-CN"/>
        </w:rPr>
        <w:t xml:space="preserve">, der auf den Anwendungsprozessoren der NXP i.MX 8M-Serie </w:t>
      </w:r>
      <w:r w:rsidR="00FF59B2">
        <w:rPr>
          <w:rFonts w:eastAsia="Times New Roman" w:cs="Times New Roman"/>
          <w:color w:val="222222"/>
          <w:sz w:val="22"/>
          <w:szCs w:val="24"/>
          <w:lang w:val="de-DE" w:eastAsia="zh-CN"/>
        </w:rPr>
        <w:t>basiert</w:t>
      </w:r>
      <w:r w:rsidRPr="00250526">
        <w:rPr>
          <w:rFonts w:eastAsia="Times New Roman" w:cs="Times New Roman"/>
          <w:color w:val="222222"/>
          <w:sz w:val="22"/>
          <w:szCs w:val="24"/>
          <w:lang w:val="de-DE" w:eastAsia="zh-CN"/>
        </w:rPr>
        <w:t xml:space="preserve">: </w:t>
      </w:r>
      <w:hyperlink r:id="rId11" w:history="1">
        <w:r w:rsidRPr="0010701F">
          <w:rPr>
            <w:rStyle w:val="Collegamentoipertestuale"/>
            <w:rFonts w:eastAsia="Times New Roman" w:cs="Times New Roman"/>
            <w:b/>
            <w:sz w:val="22"/>
            <w:szCs w:val="24"/>
            <w:lang w:val="de-DE" w:eastAsia="zh-CN"/>
          </w:rPr>
          <w:t>SBC-</w:t>
        </w:r>
        <w:proofErr w:type="spellStart"/>
        <w:r w:rsidRPr="0010701F">
          <w:rPr>
            <w:rStyle w:val="Collegamentoipertestuale"/>
            <w:rFonts w:eastAsia="Times New Roman" w:cs="Times New Roman"/>
            <w:b/>
            <w:sz w:val="22"/>
            <w:szCs w:val="24"/>
            <w:lang w:val="de-DE" w:eastAsia="zh-CN"/>
          </w:rPr>
          <w:t>C20</w:t>
        </w:r>
        <w:proofErr w:type="spellEnd"/>
      </w:hyperlink>
      <w:r w:rsidRPr="00250526">
        <w:rPr>
          <w:rFonts w:eastAsia="Times New Roman" w:cs="Times New Roman"/>
          <w:sz w:val="22"/>
          <w:szCs w:val="24"/>
          <w:lang w:val="de-DE" w:eastAsia="zh-CN"/>
        </w:rPr>
        <w:t xml:space="preserve"> zeichnet sich wie </w:t>
      </w:r>
      <w:r w:rsidRPr="00250526">
        <w:rPr>
          <w:rFonts w:eastAsia="Times New Roman" w:cs="Times New Roman"/>
          <w:color w:val="222222"/>
          <w:sz w:val="22"/>
          <w:szCs w:val="24"/>
          <w:lang w:val="de-DE" w:eastAsia="zh-CN"/>
        </w:rPr>
        <w:t xml:space="preserve">die oben genannten Modelle durch die HEVC-/VP9-Dekodierung in 4Kp60- und HDR-Auflösung aus. Was den Speicher betrifft, so verfügt er über einen DDR3L-RAM. Darüber hinaus bietet er </w:t>
      </w:r>
      <w:proofErr w:type="gramStart"/>
      <w:r w:rsidRPr="00250526">
        <w:rPr>
          <w:rFonts w:eastAsia="Times New Roman" w:cs="Times New Roman"/>
          <w:color w:val="222222"/>
          <w:sz w:val="22"/>
          <w:szCs w:val="24"/>
          <w:lang w:val="de-DE" w:eastAsia="zh-CN"/>
        </w:rPr>
        <w:t xml:space="preserve">einen optimierten </w:t>
      </w:r>
      <w:proofErr w:type="spellStart"/>
      <w:r w:rsidRPr="00250526">
        <w:rPr>
          <w:rFonts w:eastAsia="Times New Roman" w:cs="Times New Roman"/>
          <w:color w:val="222222"/>
          <w:sz w:val="22"/>
          <w:szCs w:val="24"/>
          <w:lang w:val="de-DE" w:eastAsia="zh-CN"/>
        </w:rPr>
        <w:t>IoT</w:t>
      </w:r>
      <w:proofErr w:type="spellEnd"/>
      <w:r w:rsidRPr="00250526">
        <w:rPr>
          <w:rFonts w:eastAsia="Times New Roman" w:cs="Times New Roman"/>
          <w:color w:val="222222"/>
          <w:sz w:val="22"/>
          <w:szCs w:val="24"/>
          <w:lang w:val="de-DE" w:eastAsia="zh-CN"/>
        </w:rPr>
        <w:t>-Stack</w:t>
      </w:r>
      <w:proofErr w:type="gramEnd"/>
      <w:r w:rsidRPr="00250526">
        <w:rPr>
          <w:rFonts w:eastAsia="Times New Roman" w:cs="Times New Roman"/>
          <w:color w:val="222222"/>
          <w:sz w:val="22"/>
          <w:szCs w:val="24"/>
          <w:lang w:val="de-DE" w:eastAsia="zh-CN"/>
        </w:rPr>
        <w:t xml:space="preserve"> mit vorinstalliertem Wind River Linux 10. Besonders umfangreich ist die Palette der Anschlussmöglichkeiten mit dem optionalen WLAN- und BT LE 4.2-Modul und der M.2-Buchse 2 Key B für WWAN-Module. Interessanterweise verfügt er auch über einen Cortex-M4 für RTOS, das Betriebssystem für Echtzeit-Anwendungen, die Daten nach deren Eingang ohne Pufferverzögerungen verarbeiten.</w:t>
      </w:r>
    </w:p>
    <w:p w:rsidR="00250526" w:rsidRPr="00250526" w:rsidRDefault="00250526" w:rsidP="00250526">
      <w:pPr>
        <w:keepLines w:val="0"/>
        <w:spacing w:after="0" w:line="240" w:lineRule="auto"/>
        <w:rPr>
          <w:rFonts w:eastAsia="Times New Roman" w:cs="Arial"/>
          <w:color w:val="222222"/>
          <w:sz w:val="22"/>
          <w:szCs w:val="24"/>
          <w:lang w:val="de-DE" w:eastAsia="zh-CN"/>
        </w:rPr>
      </w:pPr>
    </w:p>
    <w:p w:rsidR="00250526" w:rsidRPr="00250526" w:rsidRDefault="00250526" w:rsidP="00250526">
      <w:pPr>
        <w:keepLines w:val="0"/>
        <w:spacing w:after="0" w:line="240" w:lineRule="auto"/>
        <w:rPr>
          <w:rFonts w:eastAsia="Times New Roman" w:cs="Arial"/>
          <w:color w:val="222222"/>
          <w:sz w:val="22"/>
          <w:szCs w:val="24"/>
          <w:lang w:val="de-DE" w:eastAsia="zh-CN"/>
        </w:rPr>
      </w:pPr>
      <w:r w:rsidRPr="00250526">
        <w:rPr>
          <w:rFonts w:eastAsia="Times New Roman" w:cs="Times New Roman"/>
          <w:color w:val="222222"/>
          <w:sz w:val="22"/>
          <w:szCs w:val="24"/>
          <w:lang w:val="de-DE" w:eastAsia="zh-CN"/>
        </w:rPr>
        <w:t xml:space="preserve">SECO bietet auch eine Reihe von </w:t>
      </w:r>
      <w:proofErr w:type="spellStart"/>
      <w:r w:rsidRPr="00250526">
        <w:rPr>
          <w:rFonts w:eastAsia="Times New Roman" w:cs="Times New Roman"/>
          <w:b/>
          <w:color w:val="222222"/>
          <w:sz w:val="22"/>
          <w:szCs w:val="24"/>
          <w:lang w:val="de-DE" w:eastAsia="zh-CN"/>
        </w:rPr>
        <w:t>Xilinx</w:t>
      </w:r>
      <w:proofErr w:type="spellEnd"/>
      <w:r w:rsidRPr="00250526">
        <w:rPr>
          <w:rFonts w:eastAsia="Times New Roman" w:cs="Times New Roman"/>
          <w:b/>
          <w:color w:val="222222"/>
          <w:sz w:val="22"/>
          <w:szCs w:val="24"/>
          <w:lang w:val="de-DE" w:eastAsia="zh-CN"/>
        </w:rPr>
        <w:t>®-basierten Produkten</w:t>
      </w:r>
      <w:r w:rsidRPr="00250526">
        <w:rPr>
          <w:rFonts w:eastAsia="Times New Roman" w:cs="Times New Roman"/>
          <w:color w:val="222222"/>
          <w:sz w:val="22"/>
          <w:szCs w:val="24"/>
          <w:lang w:val="de-DE" w:eastAsia="zh-CN"/>
        </w:rPr>
        <w:t xml:space="preserve"> an, nämlich das </w:t>
      </w:r>
      <w:r w:rsidRPr="00250526">
        <w:rPr>
          <w:rFonts w:eastAsia="Times New Roman" w:cs="Times New Roman"/>
          <w:b/>
          <w:color w:val="4472C4"/>
          <w:sz w:val="22"/>
          <w:szCs w:val="24"/>
          <w:lang w:val="de-DE" w:eastAsia="zh-CN"/>
        </w:rPr>
        <w:t>AXIOM-Board</w:t>
      </w:r>
      <w:r w:rsidRPr="00250526">
        <w:rPr>
          <w:rFonts w:eastAsia="Times New Roman" w:cs="Times New Roman"/>
          <w:color w:val="222222"/>
          <w:sz w:val="22"/>
          <w:szCs w:val="24"/>
          <w:lang w:val="de-DE" w:eastAsia="zh-CN"/>
        </w:rPr>
        <w:t xml:space="preserve"> und das </w:t>
      </w:r>
      <w:hyperlink r:id="rId12" w:history="1">
        <w:r w:rsidRPr="0010701F">
          <w:rPr>
            <w:rStyle w:val="Collegamentoipertestuale"/>
            <w:rFonts w:eastAsia="Times New Roman" w:cs="Times New Roman"/>
            <w:b/>
            <w:sz w:val="22"/>
            <w:szCs w:val="24"/>
            <w:lang w:val="de-DE" w:eastAsia="zh-CN"/>
          </w:rPr>
          <w:t>SM-</w:t>
        </w:r>
        <w:proofErr w:type="spellStart"/>
        <w:r w:rsidRPr="0010701F">
          <w:rPr>
            <w:rStyle w:val="Collegamentoipertestuale"/>
            <w:rFonts w:eastAsia="Times New Roman" w:cs="Times New Roman"/>
            <w:b/>
            <w:sz w:val="22"/>
            <w:szCs w:val="24"/>
            <w:lang w:val="de-DE" w:eastAsia="zh-CN"/>
          </w:rPr>
          <w:t>B71</w:t>
        </w:r>
        <w:proofErr w:type="spellEnd"/>
      </w:hyperlink>
      <w:bookmarkStart w:id="0" w:name="_GoBack"/>
      <w:bookmarkEnd w:id="0"/>
      <w:r w:rsidRPr="00250526">
        <w:rPr>
          <w:rFonts w:eastAsia="Times New Roman" w:cs="Times New Roman"/>
          <w:color w:val="222222"/>
          <w:sz w:val="22"/>
          <w:szCs w:val="24"/>
          <w:lang w:val="de-DE" w:eastAsia="zh-CN"/>
        </w:rPr>
        <w:t xml:space="preserve">, das auf SMARC basiert. </w:t>
      </w:r>
    </w:p>
    <w:p w:rsidR="00250526" w:rsidRPr="00250526" w:rsidRDefault="00250526" w:rsidP="00250526">
      <w:pPr>
        <w:keepLines w:val="0"/>
        <w:spacing w:after="0" w:line="240" w:lineRule="auto"/>
        <w:rPr>
          <w:rFonts w:eastAsia="Times New Roman" w:cs="Arial"/>
          <w:color w:val="222222"/>
          <w:sz w:val="22"/>
          <w:szCs w:val="24"/>
          <w:lang w:val="de-DE" w:eastAsia="zh-CN"/>
        </w:rPr>
      </w:pPr>
      <w:r w:rsidRPr="00250526">
        <w:rPr>
          <w:rFonts w:eastAsia="Times New Roman" w:cs="Times New Roman"/>
          <w:color w:val="222222"/>
          <w:sz w:val="22"/>
          <w:szCs w:val="24"/>
          <w:lang w:val="de-DE" w:eastAsia="zh-CN"/>
        </w:rPr>
        <w:t xml:space="preserve">Letztendlich handelt es sich bei beiden Produkten um heterogene Verarbeitungssysteme, die auf den </w:t>
      </w:r>
      <w:proofErr w:type="spellStart"/>
      <w:r w:rsidRPr="00250526">
        <w:rPr>
          <w:rFonts w:eastAsia="Times New Roman" w:cs="Times New Roman"/>
          <w:color w:val="222222"/>
          <w:sz w:val="22"/>
          <w:szCs w:val="24"/>
          <w:lang w:val="de-DE" w:eastAsia="zh-CN"/>
        </w:rPr>
        <w:t>MPSoCs</w:t>
      </w:r>
      <w:proofErr w:type="spellEnd"/>
      <w:r w:rsidRPr="00250526">
        <w:rPr>
          <w:rFonts w:eastAsia="Times New Roman" w:cs="Times New Roman"/>
          <w:color w:val="222222"/>
          <w:sz w:val="22"/>
          <w:szCs w:val="24"/>
          <w:lang w:val="de-DE" w:eastAsia="zh-CN"/>
        </w:rPr>
        <w:t xml:space="preserve"> </w:t>
      </w:r>
      <w:proofErr w:type="spellStart"/>
      <w:r w:rsidRPr="00250526">
        <w:rPr>
          <w:rFonts w:eastAsia="Times New Roman" w:cs="Times New Roman"/>
          <w:color w:val="222222"/>
          <w:sz w:val="22"/>
          <w:szCs w:val="24"/>
          <w:lang w:val="de-DE" w:eastAsia="zh-CN"/>
        </w:rPr>
        <w:t>Zynq</w:t>
      </w:r>
      <w:proofErr w:type="spellEnd"/>
      <w:r w:rsidRPr="00250526">
        <w:rPr>
          <w:rFonts w:eastAsia="Times New Roman" w:cs="Times New Roman"/>
          <w:color w:val="222222"/>
          <w:sz w:val="22"/>
          <w:szCs w:val="24"/>
          <w:lang w:val="de-DE" w:eastAsia="zh-CN"/>
        </w:rPr>
        <w:t xml:space="preserve"> </w:t>
      </w:r>
      <w:proofErr w:type="spellStart"/>
      <w:r w:rsidRPr="00250526">
        <w:rPr>
          <w:rFonts w:eastAsia="Times New Roman" w:cs="Times New Roman"/>
          <w:color w:val="222222"/>
          <w:sz w:val="22"/>
          <w:szCs w:val="24"/>
          <w:lang w:val="de-DE" w:eastAsia="zh-CN"/>
        </w:rPr>
        <w:t>Ultrascale</w:t>
      </w:r>
      <w:proofErr w:type="spellEnd"/>
      <w:r w:rsidRPr="00250526">
        <w:rPr>
          <w:rFonts w:eastAsia="Times New Roman" w:cs="Times New Roman"/>
          <w:color w:val="222222"/>
          <w:sz w:val="22"/>
          <w:szCs w:val="24"/>
          <w:lang w:val="de-DE" w:eastAsia="zh-CN"/>
        </w:rPr>
        <w:t xml:space="preserve">+ von </w:t>
      </w:r>
      <w:proofErr w:type="spellStart"/>
      <w:r w:rsidRPr="00250526">
        <w:rPr>
          <w:rFonts w:eastAsia="Times New Roman" w:cs="Times New Roman"/>
          <w:color w:val="222222"/>
          <w:sz w:val="22"/>
          <w:szCs w:val="24"/>
          <w:lang w:val="de-DE" w:eastAsia="zh-CN"/>
        </w:rPr>
        <w:t>Xilinx</w:t>
      </w:r>
      <w:proofErr w:type="spellEnd"/>
      <w:r w:rsidRPr="00250526">
        <w:rPr>
          <w:rFonts w:eastAsia="Times New Roman" w:cs="Times New Roman"/>
          <w:color w:val="222222"/>
          <w:sz w:val="22"/>
          <w:szCs w:val="24"/>
          <w:lang w:val="de-DE" w:eastAsia="zh-CN"/>
        </w:rPr>
        <w:t xml:space="preserve">® basieren und als intelligentere industrielle Lösung konzipiert wurden. Interessanterweise bieten sie eine breite Palette von unterstützten </w:t>
      </w:r>
      <w:proofErr w:type="spellStart"/>
      <w:r w:rsidRPr="00250526">
        <w:rPr>
          <w:rFonts w:eastAsia="Times New Roman" w:cs="Times New Roman"/>
          <w:color w:val="222222"/>
          <w:sz w:val="22"/>
          <w:szCs w:val="24"/>
          <w:lang w:val="de-DE" w:eastAsia="zh-CN"/>
        </w:rPr>
        <w:t>Zynq</w:t>
      </w:r>
      <w:proofErr w:type="spellEnd"/>
      <w:r w:rsidRPr="00250526">
        <w:rPr>
          <w:rFonts w:eastAsia="Times New Roman" w:cs="Times New Roman"/>
          <w:color w:val="222222"/>
          <w:sz w:val="22"/>
          <w:szCs w:val="24"/>
          <w:lang w:val="de-DE" w:eastAsia="zh-CN"/>
        </w:rPr>
        <w:t xml:space="preserve"> </w:t>
      </w:r>
      <w:proofErr w:type="spellStart"/>
      <w:r w:rsidRPr="00250526">
        <w:rPr>
          <w:rFonts w:eastAsia="Times New Roman" w:cs="Times New Roman"/>
          <w:color w:val="222222"/>
          <w:sz w:val="22"/>
          <w:szCs w:val="24"/>
          <w:lang w:val="de-DE" w:eastAsia="zh-CN"/>
        </w:rPr>
        <w:t>Ultrascale</w:t>
      </w:r>
      <w:proofErr w:type="spellEnd"/>
      <w:r w:rsidRPr="00250526">
        <w:rPr>
          <w:rFonts w:eastAsia="Times New Roman" w:cs="Times New Roman"/>
          <w:color w:val="222222"/>
          <w:sz w:val="22"/>
          <w:szCs w:val="24"/>
          <w:lang w:val="de-DE" w:eastAsia="zh-CN"/>
        </w:rPr>
        <w:t xml:space="preserve">+ </w:t>
      </w:r>
      <w:proofErr w:type="spellStart"/>
      <w:r w:rsidR="00FF59B2" w:rsidRPr="00250526">
        <w:rPr>
          <w:rFonts w:eastAsia="Times New Roman" w:cs="Times New Roman"/>
          <w:color w:val="222222"/>
          <w:sz w:val="22"/>
          <w:szCs w:val="24"/>
          <w:lang w:val="de-DE" w:eastAsia="zh-CN"/>
        </w:rPr>
        <w:t>MPSoCs</w:t>
      </w:r>
      <w:proofErr w:type="spellEnd"/>
      <w:r w:rsidR="00FF59B2" w:rsidRPr="00250526">
        <w:rPr>
          <w:rFonts w:eastAsia="Times New Roman" w:cs="Times New Roman"/>
          <w:color w:val="222222"/>
          <w:sz w:val="22"/>
          <w:szCs w:val="24"/>
          <w:lang w:val="de-DE" w:eastAsia="zh-CN"/>
        </w:rPr>
        <w:t xml:space="preserve"> </w:t>
      </w:r>
      <w:r w:rsidRPr="00250526">
        <w:rPr>
          <w:rFonts w:eastAsia="Times New Roman" w:cs="Times New Roman"/>
          <w:color w:val="222222"/>
          <w:sz w:val="22"/>
          <w:szCs w:val="24"/>
          <w:lang w:val="de-DE" w:eastAsia="zh-CN"/>
        </w:rPr>
        <w:t xml:space="preserve">von </w:t>
      </w:r>
      <w:proofErr w:type="spellStart"/>
      <w:r w:rsidRPr="00250526">
        <w:rPr>
          <w:rFonts w:eastAsia="Times New Roman" w:cs="Times New Roman"/>
          <w:color w:val="222222"/>
          <w:sz w:val="22"/>
          <w:szCs w:val="24"/>
          <w:lang w:val="de-DE" w:eastAsia="zh-CN"/>
        </w:rPr>
        <w:t>Xilinx</w:t>
      </w:r>
      <w:proofErr w:type="spellEnd"/>
      <w:r w:rsidRPr="00250526">
        <w:rPr>
          <w:rFonts w:eastAsia="Times New Roman" w:cs="Times New Roman"/>
          <w:color w:val="222222"/>
          <w:sz w:val="22"/>
          <w:szCs w:val="24"/>
          <w:lang w:val="de-DE" w:eastAsia="zh-CN"/>
        </w:rPr>
        <w:t>® und sind vollständig mit Multi-</w:t>
      </w:r>
      <w:proofErr w:type="spellStart"/>
      <w:r w:rsidRPr="00250526">
        <w:rPr>
          <w:rFonts w:eastAsia="Times New Roman" w:cs="Times New Roman"/>
          <w:color w:val="222222"/>
          <w:sz w:val="22"/>
          <w:szCs w:val="24"/>
          <w:lang w:val="de-DE" w:eastAsia="zh-CN"/>
        </w:rPr>
        <w:t>Gbps</w:t>
      </w:r>
      <w:proofErr w:type="spellEnd"/>
      <w:r w:rsidRPr="00250526">
        <w:rPr>
          <w:rFonts w:eastAsia="Times New Roman" w:cs="Times New Roman"/>
          <w:color w:val="222222"/>
          <w:sz w:val="22"/>
          <w:szCs w:val="24"/>
          <w:lang w:val="de-DE" w:eastAsia="zh-CN"/>
        </w:rPr>
        <w:t xml:space="preserve">-Transceivern ausgestattet. Im Vergleich zum Rest des Marktes zeichnen sie sich durch die außergewöhnliche Flexibilität aus, die den FPGA-Logikzellen von bis zu 256K zu verdanken ist. Das AXIOM-Board ist vor allem das Ergebnis einer von der EG finanzierten Initiative, an der sieben in der EU ansässige Akteure, darunter Universitäten, Forschungsgruppen sowie kleine und mittelständige Unternehmen, beteiligt sind und deren Ziel darin besteht, die ultimative Hard- und Softwareplattform für cyberphysikalische Systeme zu entwickeln und herzustellen. </w:t>
      </w:r>
    </w:p>
    <w:p w:rsidR="00250526" w:rsidRPr="00250526" w:rsidRDefault="00250526" w:rsidP="00250526">
      <w:pPr>
        <w:keepLines w:val="0"/>
        <w:suppressAutoHyphens/>
        <w:spacing w:line="240" w:lineRule="auto"/>
        <w:rPr>
          <w:rFonts w:eastAsia="Times New Roman" w:cs="Times New Roman"/>
          <w:sz w:val="24"/>
          <w:szCs w:val="24"/>
          <w:lang w:val="de-DE" w:eastAsia="zh-CN"/>
        </w:rPr>
      </w:pPr>
    </w:p>
    <w:p w:rsidR="0029120B" w:rsidRDefault="0029120B" w:rsidP="0029120B">
      <w:pPr>
        <w:keepLines w:val="0"/>
        <w:suppressAutoHyphens/>
        <w:spacing w:line="240" w:lineRule="auto"/>
        <w:rPr>
          <w:rFonts w:eastAsia="Times New Roman" w:cs="Times New Roman"/>
          <w:sz w:val="24"/>
          <w:szCs w:val="24"/>
          <w:lang w:val="de-DE" w:eastAsia="zh-CN"/>
        </w:rPr>
      </w:pPr>
    </w:p>
    <w:p w:rsidR="0029120B" w:rsidRPr="0029120B" w:rsidRDefault="0029120B" w:rsidP="0029120B">
      <w:pPr>
        <w:keepLines w:val="0"/>
        <w:suppressAutoHyphens/>
        <w:spacing w:line="240" w:lineRule="auto"/>
        <w:rPr>
          <w:rFonts w:eastAsia="Times New Roman" w:cs="Times New Roman"/>
          <w:sz w:val="24"/>
          <w:szCs w:val="32"/>
          <w:lang w:val="de-DE" w:eastAsia="zh-CN"/>
        </w:rPr>
      </w:pPr>
      <w:r w:rsidRPr="0029120B">
        <w:rPr>
          <w:rFonts w:eastAsia="Times New Roman" w:cs="Times New Roman"/>
          <w:b/>
          <w:color w:val="000000"/>
          <w:sz w:val="24"/>
          <w:szCs w:val="24"/>
          <w:lang w:val="de-DE" w:eastAsia="zh-CN"/>
        </w:rPr>
        <w:t>Über SECO</w:t>
      </w:r>
    </w:p>
    <w:p w:rsidR="0029120B" w:rsidRPr="0029120B" w:rsidRDefault="0029120B" w:rsidP="0029120B">
      <w:pPr>
        <w:keepLines w:val="0"/>
        <w:suppressAutoHyphens/>
        <w:spacing w:line="240" w:lineRule="auto"/>
        <w:rPr>
          <w:rFonts w:eastAsia="Times New Roman" w:cs="Calibri"/>
          <w:sz w:val="20"/>
          <w:szCs w:val="24"/>
          <w:lang w:val="de-DE" w:eastAsia="zh-CN"/>
        </w:rPr>
      </w:pPr>
      <w:r w:rsidRPr="0029120B">
        <w:rPr>
          <w:rFonts w:eastAsia="Times New Roman" w:cs="Times New Roman"/>
          <w:color w:val="000000"/>
          <w:sz w:val="20"/>
          <w:szCs w:val="24"/>
          <w:lang w:val="de-DE" w:eastAsia="zh-CN"/>
        </w:rPr>
        <w:t>Die SECO Group glänzt im Bereich Embedded Electronics und bietet innovative Lösungen für eine Vielzahl von Anwendungen, die von Standardmodulen (</w:t>
      </w:r>
      <w:proofErr w:type="spellStart"/>
      <w:r w:rsidRPr="0029120B">
        <w:rPr>
          <w:rFonts w:eastAsia="Times New Roman" w:cs="Times New Roman"/>
          <w:color w:val="000000"/>
          <w:sz w:val="20"/>
          <w:szCs w:val="24"/>
          <w:lang w:val="de-DE" w:eastAsia="zh-CN"/>
        </w:rPr>
        <w:t>Qseven</w:t>
      </w:r>
      <w:proofErr w:type="spellEnd"/>
      <w:r w:rsidRPr="0029120B">
        <w:rPr>
          <w:rFonts w:eastAsia="Times New Roman" w:cs="Times New Roman"/>
          <w:color w:val="000000"/>
          <w:sz w:val="20"/>
          <w:szCs w:val="24"/>
          <w:lang w:val="de-DE" w:eastAsia="zh-CN"/>
        </w:rPr>
        <w:t xml:space="preserve">®, COM </w:t>
      </w:r>
      <w:proofErr w:type="spellStart"/>
      <w:r w:rsidRPr="0029120B">
        <w:rPr>
          <w:rFonts w:eastAsia="Times New Roman" w:cs="Times New Roman"/>
          <w:color w:val="000000"/>
          <w:sz w:val="20"/>
          <w:szCs w:val="24"/>
          <w:lang w:val="de-DE" w:eastAsia="zh-CN"/>
        </w:rPr>
        <w:t>Express</w:t>
      </w:r>
      <w:r w:rsidRPr="0029120B">
        <w:rPr>
          <w:rFonts w:eastAsia="Times New Roman" w:cs="Times New Roman"/>
          <w:color w:val="000000"/>
          <w:sz w:val="20"/>
          <w:szCs w:val="24"/>
          <w:vertAlign w:val="superscript"/>
          <w:lang w:val="de-DE" w:eastAsia="zh-CN"/>
        </w:rPr>
        <w:t>TM</w:t>
      </w:r>
      <w:proofErr w:type="spellEnd"/>
      <w:r w:rsidRPr="0029120B">
        <w:rPr>
          <w:rFonts w:eastAsia="Times New Roman" w:cs="Times New Roman"/>
          <w:color w:val="000000"/>
          <w:sz w:val="20"/>
          <w:szCs w:val="24"/>
          <w:lang w:val="de-DE" w:eastAsia="zh-CN"/>
        </w:rPr>
        <w:t xml:space="preserve">, </w:t>
      </w:r>
      <w:proofErr w:type="spellStart"/>
      <w:r w:rsidRPr="0029120B">
        <w:rPr>
          <w:rFonts w:eastAsia="Times New Roman" w:cs="Times New Roman"/>
          <w:color w:val="000000"/>
          <w:sz w:val="20"/>
          <w:szCs w:val="24"/>
          <w:lang w:val="de-DE" w:eastAsia="zh-CN"/>
        </w:rPr>
        <w:t>SMARC</w:t>
      </w:r>
      <w:proofErr w:type="spellEnd"/>
      <w:r w:rsidRPr="0029120B">
        <w:rPr>
          <w:rFonts w:eastAsia="Times New Roman" w:cs="Times New Roman"/>
          <w:color w:val="000000"/>
          <w:sz w:val="20"/>
          <w:szCs w:val="24"/>
          <w:lang w:val="de-DE" w:eastAsia="zh-CN"/>
        </w:rPr>
        <w:t xml:space="preserve">, ETX®), SBCs, Systemen bis hin zu </w:t>
      </w:r>
      <w:proofErr w:type="spellStart"/>
      <w:r w:rsidRPr="0029120B">
        <w:rPr>
          <w:rFonts w:eastAsia="Times New Roman" w:cs="Times New Roman"/>
          <w:color w:val="000000"/>
          <w:sz w:val="20"/>
          <w:szCs w:val="24"/>
          <w:lang w:val="de-DE" w:eastAsia="zh-CN"/>
        </w:rPr>
        <w:t>Full</w:t>
      </w:r>
      <w:proofErr w:type="spellEnd"/>
      <w:r w:rsidRPr="0029120B">
        <w:rPr>
          <w:rFonts w:eastAsia="Times New Roman" w:cs="Times New Roman"/>
          <w:color w:val="000000"/>
          <w:sz w:val="20"/>
          <w:szCs w:val="24"/>
          <w:lang w:val="de-DE" w:eastAsia="zh-CN"/>
        </w:rPr>
        <w:t xml:space="preserve">-Custom-Lösungen reichen. Mit mehr als 40 Jahren Erfahrung und mehr als 250 Mitarbeitern wächst SECO kontinuierlich und ist mit Niederlassungen in Italien, Deutschland, USA, Indien und Taiwan weltweit tätig. SECO verwaltet den gesamten Produktionszyklus, von der Entwicklung und dem Design über die Fertigung bis hin zum Massenvertrieb, intern in Italien. Kreativität, Innovation und die Zusammenarbeit mit den wichtigsten Technologiepartnern sind die Grundlage für die Fähigkeit von SECO, die sich ständig ändernden Herausforderungen des Embedded-Marktes zu meistern. </w:t>
      </w:r>
      <w:hyperlink r:id="rId13" w:history="1">
        <w:r w:rsidRPr="0029120B">
          <w:rPr>
            <w:rFonts w:eastAsia="Times New Roman" w:cs="Times New Roman"/>
            <w:color w:val="0000FF"/>
            <w:sz w:val="20"/>
            <w:szCs w:val="24"/>
            <w:u w:val="single"/>
            <w:lang w:val="de-DE" w:eastAsia="zh-CN"/>
          </w:rPr>
          <w:t>www.seco.com</w:t>
        </w:r>
      </w:hyperlink>
    </w:p>
    <w:p w:rsidR="0029120B" w:rsidRPr="0029120B" w:rsidRDefault="0029120B" w:rsidP="0029120B">
      <w:pPr>
        <w:keepLines w:val="0"/>
        <w:suppressAutoHyphens/>
        <w:spacing w:after="0" w:line="240" w:lineRule="auto"/>
        <w:rPr>
          <w:rFonts w:eastAsia="Times New Roman" w:cs="Times New Roman"/>
          <w:sz w:val="20"/>
          <w:szCs w:val="24"/>
          <w:lang w:val="de-DE" w:eastAsia="zh-CN"/>
        </w:rPr>
      </w:pPr>
    </w:p>
    <w:p w:rsidR="0029120B" w:rsidRPr="0029120B" w:rsidRDefault="0029120B" w:rsidP="0029120B">
      <w:pPr>
        <w:keepLines w:val="0"/>
        <w:suppressAutoHyphens/>
        <w:spacing w:line="240" w:lineRule="auto"/>
        <w:rPr>
          <w:rFonts w:eastAsia="Times New Roman" w:cs="Times New Roman"/>
          <w:sz w:val="20"/>
          <w:szCs w:val="24"/>
          <w:lang w:val="de-DE" w:eastAsia="zh-CN"/>
        </w:rPr>
      </w:pPr>
      <w:r w:rsidRPr="0029120B">
        <w:rPr>
          <w:rFonts w:eastAsia="Times New Roman" w:cs="Times New Roman"/>
          <w:b/>
          <w:color w:val="000000"/>
          <w:sz w:val="20"/>
          <w:szCs w:val="24"/>
          <w:lang w:val="de-DE" w:eastAsia="zh-CN"/>
        </w:rPr>
        <w:t>ANSPRECHPARTNER</w:t>
      </w:r>
    </w:p>
    <w:p w:rsidR="0029120B" w:rsidRPr="0029120B" w:rsidRDefault="0010701F" w:rsidP="00250526">
      <w:pPr>
        <w:keepLines w:val="0"/>
        <w:suppressAutoHyphens/>
        <w:spacing w:line="240" w:lineRule="auto"/>
        <w:jc w:val="left"/>
        <w:rPr>
          <w:rFonts w:eastAsia="Times New Roman" w:cs="Times New Roman"/>
          <w:sz w:val="24"/>
          <w:szCs w:val="24"/>
          <w:lang w:val="de-DE" w:eastAsia="zh-CN"/>
        </w:rPr>
      </w:pPr>
      <w:hyperlink r:id="rId14" w:history="1">
        <w:r w:rsidR="0029120B" w:rsidRPr="0029120B">
          <w:rPr>
            <w:rStyle w:val="Collegamentoipertestuale"/>
            <w:rFonts w:eastAsia="Times New Roman" w:cs="Times New Roman"/>
            <w:sz w:val="20"/>
            <w:szCs w:val="24"/>
            <w:lang w:val="de-DE" w:eastAsia="zh-CN"/>
          </w:rPr>
          <w:t>marcom@seco.com</w:t>
        </w:r>
      </w:hyperlink>
      <w:hyperlink r:id="rId15" w:history="1"/>
    </w:p>
    <w:p w:rsidR="0029120B" w:rsidRPr="0029120B" w:rsidRDefault="0029120B" w:rsidP="0029120B">
      <w:pPr>
        <w:keepLines w:val="0"/>
        <w:suppressAutoHyphens/>
        <w:spacing w:after="0" w:line="240" w:lineRule="auto"/>
        <w:jc w:val="left"/>
        <w:rPr>
          <w:rFonts w:eastAsia="Times New Roman" w:cs="Times New Roman"/>
          <w:sz w:val="24"/>
          <w:szCs w:val="24"/>
          <w:lang w:val="de-DE" w:eastAsia="zh-CN"/>
        </w:rPr>
      </w:pPr>
    </w:p>
    <w:p w:rsidR="00826868" w:rsidRPr="0029120B" w:rsidRDefault="00826868" w:rsidP="0029120B"/>
    <w:sectPr w:rsidR="00826868" w:rsidRPr="0029120B" w:rsidSect="00362932">
      <w:headerReference w:type="even" r:id="rId16"/>
      <w:headerReference w:type="default" r:id="rId17"/>
      <w:footerReference w:type="default" r:id="rId18"/>
      <w:pgSz w:w="11906" w:h="16838"/>
      <w:pgMar w:top="1134"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F3D" w:rsidRDefault="00571F3D" w:rsidP="00C87F48">
      <w:pPr>
        <w:spacing w:after="0" w:line="240" w:lineRule="auto"/>
      </w:pPr>
      <w:r>
        <w:separator/>
      </w:r>
    </w:p>
  </w:endnote>
  <w:endnote w:type="continuationSeparator" w:id="0">
    <w:p w:rsidR="00571F3D" w:rsidRDefault="00571F3D" w:rsidP="00C8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9"/>
      <w:gridCol w:w="1724"/>
      <w:gridCol w:w="1724"/>
      <w:gridCol w:w="1724"/>
      <w:gridCol w:w="1724"/>
      <w:gridCol w:w="1724"/>
    </w:tblGrid>
    <w:tr w:rsidR="00067F82" w:rsidTr="00567D04">
      <w:trPr>
        <w:trHeight w:val="271"/>
      </w:trPr>
      <w:tc>
        <w:tcPr>
          <w:tcW w:w="10349" w:type="dxa"/>
          <w:gridSpan w:val="6"/>
          <w:shd w:val="clear" w:color="auto" w:fill="auto"/>
          <w:vAlign w:val="center"/>
        </w:tcPr>
        <w:p w:rsidR="00067F82" w:rsidRPr="00110150" w:rsidRDefault="00067F82" w:rsidP="00067F82">
          <w:pPr>
            <w:pStyle w:val="Pidipagina"/>
            <w:jc w:val="center"/>
            <w:rPr>
              <w:sz w:val="18"/>
            </w:rPr>
          </w:pPr>
          <w:r w:rsidRPr="00110150">
            <w:rPr>
              <w:sz w:val="18"/>
            </w:rPr>
            <w:t>WWW.SECO.COM</w:t>
          </w:r>
        </w:p>
        <w:p w:rsidR="00067F82" w:rsidRPr="0029120B" w:rsidRDefault="00067F82" w:rsidP="00067F82">
          <w:pPr>
            <w:pStyle w:val="Pidipagina"/>
            <w:jc w:val="center"/>
            <w:rPr>
              <w:b/>
              <w:color w:val="FFFFFF"/>
            </w:rPr>
          </w:pPr>
        </w:p>
      </w:tc>
    </w:tr>
    <w:tr w:rsidR="000F433F" w:rsidTr="0029120B">
      <w:trPr>
        <w:trHeight w:val="271"/>
      </w:trPr>
      <w:tc>
        <w:tcPr>
          <w:tcW w:w="1729" w:type="dxa"/>
          <w:shd w:val="clear" w:color="auto" w:fill="000000"/>
          <w:vAlign w:val="center"/>
        </w:tcPr>
        <w:p w:rsidR="000F433F" w:rsidRPr="0029120B" w:rsidRDefault="000F433F" w:rsidP="00067F82">
          <w:pPr>
            <w:pStyle w:val="Pidipagina"/>
            <w:jc w:val="center"/>
            <w:rPr>
              <w:color w:val="FFFFFF"/>
            </w:rPr>
          </w:pPr>
          <w:r w:rsidRPr="0029120B">
            <w:rPr>
              <w:color w:val="FFFFFF"/>
            </w:rPr>
            <w:t>AREZZO</w:t>
          </w:r>
        </w:p>
      </w:tc>
      <w:tc>
        <w:tcPr>
          <w:tcW w:w="1724" w:type="dxa"/>
          <w:shd w:val="clear" w:color="auto" w:fill="000000"/>
          <w:vAlign w:val="center"/>
        </w:tcPr>
        <w:p w:rsidR="000F433F" w:rsidRPr="0029120B" w:rsidRDefault="000F433F" w:rsidP="00067F82">
          <w:pPr>
            <w:pStyle w:val="Pidipagina"/>
            <w:jc w:val="center"/>
            <w:rPr>
              <w:color w:val="FFFFFF"/>
            </w:rPr>
          </w:pPr>
          <w:r w:rsidRPr="0029120B">
            <w:rPr>
              <w:color w:val="FFFFFF"/>
            </w:rPr>
            <w:t>MILAN</w:t>
          </w:r>
        </w:p>
      </w:tc>
      <w:tc>
        <w:tcPr>
          <w:tcW w:w="1724" w:type="dxa"/>
          <w:shd w:val="clear" w:color="auto" w:fill="000000"/>
          <w:vAlign w:val="center"/>
        </w:tcPr>
        <w:p w:rsidR="000F433F" w:rsidRPr="0029120B" w:rsidRDefault="00067F82" w:rsidP="00067F82">
          <w:pPr>
            <w:pStyle w:val="Pidipagina"/>
            <w:jc w:val="center"/>
            <w:rPr>
              <w:color w:val="FFFFFF"/>
            </w:rPr>
          </w:pPr>
          <w:r w:rsidRPr="0029120B">
            <w:rPr>
              <w:color w:val="FFFFFF"/>
            </w:rPr>
            <w:t>FRANKFURT</w:t>
          </w:r>
        </w:p>
      </w:tc>
      <w:tc>
        <w:tcPr>
          <w:tcW w:w="1724" w:type="dxa"/>
          <w:shd w:val="clear" w:color="auto" w:fill="000000"/>
          <w:vAlign w:val="center"/>
        </w:tcPr>
        <w:p w:rsidR="000F433F" w:rsidRPr="0029120B" w:rsidRDefault="00067F82" w:rsidP="00067F82">
          <w:pPr>
            <w:pStyle w:val="Pidipagina"/>
            <w:jc w:val="center"/>
            <w:rPr>
              <w:color w:val="FFFFFF"/>
            </w:rPr>
          </w:pPr>
          <w:r w:rsidRPr="0029120B">
            <w:rPr>
              <w:color w:val="FFFFFF"/>
            </w:rPr>
            <w:t>BOSTON</w:t>
          </w:r>
        </w:p>
      </w:tc>
      <w:tc>
        <w:tcPr>
          <w:tcW w:w="1724" w:type="dxa"/>
          <w:shd w:val="clear" w:color="auto" w:fill="000000"/>
          <w:vAlign w:val="center"/>
        </w:tcPr>
        <w:p w:rsidR="000F433F" w:rsidRPr="0029120B" w:rsidRDefault="00067F82" w:rsidP="00067F82">
          <w:pPr>
            <w:pStyle w:val="Pidipagina"/>
            <w:jc w:val="center"/>
            <w:rPr>
              <w:color w:val="FFFFFF"/>
            </w:rPr>
          </w:pPr>
          <w:r w:rsidRPr="0029120B">
            <w:rPr>
              <w:color w:val="FFFFFF"/>
            </w:rPr>
            <w:t>BANGALORE</w:t>
          </w:r>
        </w:p>
      </w:tc>
      <w:tc>
        <w:tcPr>
          <w:tcW w:w="1724" w:type="dxa"/>
          <w:shd w:val="clear" w:color="auto" w:fill="000000"/>
          <w:vAlign w:val="center"/>
        </w:tcPr>
        <w:p w:rsidR="000F433F" w:rsidRPr="0029120B" w:rsidRDefault="00067F82" w:rsidP="00067F82">
          <w:pPr>
            <w:pStyle w:val="Pidipagina"/>
            <w:jc w:val="center"/>
            <w:rPr>
              <w:color w:val="FFFFFF"/>
            </w:rPr>
          </w:pPr>
          <w:r w:rsidRPr="0029120B">
            <w:rPr>
              <w:color w:val="FFFFFF"/>
            </w:rPr>
            <w:t>TAIPEI</w:t>
          </w:r>
        </w:p>
      </w:tc>
    </w:tr>
    <w:tr w:rsidR="00067F82" w:rsidTr="00567D04">
      <w:tc>
        <w:tcPr>
          <w:tcW w:w="10349" w:type="dxa"/>
          <w:gridSpan w:val="6"/>
        </w:tcPr>
        <w:p w:rsidR="00067F82" w:rsidRDefault="008A7243" w:rsidP="00567D04">
          <w:pPr>
            <w:pStyle w:val="Pidipagina"/>
            <w:jc w:val="center"/>
          </w:pPr>
          <w:r>
            <w:rPr>
              <w:noProof/>
              <w:lang w:eastAsia="it-IT"/>
            </w:rPr>
            <w:drawing>
              <wp:inline distT="0" distB="0" distL="0" distR="0">
                <wp:extent cx="4998085" cy="483870"/>
                <wp:effectExtent l="0" t="0" r="0" b="0"/>
                <wp:docPr id="4" name="Immagin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8085" cy="483870"/>
                        </a:xfrm>
                        <a:prstGeom prst="rect">
                          <a:avLst/>
                        </a:prstGeom>
                        <a:noFill/>
                        <a:ln>
                          <a:noFill/>
                        </a:ln>
                      </pic:spPr>
                    </pic:pic>
                  </a:graphicData>
                </a:graphic>
              </wp:inline>
            </w:drawing>
          </w:r>
        </w:p>
      </w:tc>
    </w:tr>
  </w:tbl>
  <w:p w:rsidR="003E6271" w:rsidRDefault="003E627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F3D" w:rsidRDefault="00571F3D" w:rsidP="00C87F48">
      <w:pPr>
        <w:spacing w:after="0" w:line="240" w:lineRule="auto"/>
      </w:pPr>
      <w:r>
        <w:separator/>
      </w:r>
    </w:p>
  </w:footnote>
  <w:footnote w:type="continuationSeparator" w:id="0">
    <w:p w:rsidR="00571F3D" w:rsidRDefault="00571F3D" w:rsidP="00C87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11A" w:rsidRDefault="008A7243">
    <w:pPr>
      <w:pStyle w:val="Intestazione"/>
    </w:pPr>
    <w:r>
      <w:rPr>
        <w:noProof/>
        <w:lang w:eastAsia="it-IT"/>
      </w:rPr>
      <w:drawing>
        <wp:inline distT="0" distB="0" distL="0" distR="0">
          <wp:extent cx="2825750" cy="1684020"/>
          <wp:effectExtent l="0" t="0" r="0" b="0"/>
          <wp:docPr id="6" name="Immagine 1" descr="S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0" cy="16840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417"/>
      <w:gridCol w:w="5833"/>
      <w:gridCol w:w="160"/>
      <w:gridCol w:w="160"/>
      <w:gridCol w:w="160"/>
      <w:gridCol w:w="160"/>
      <w:gridCol w:w="160"/>
      <w:gridCol w:w="160"/>
      <w:gridCol w:w="160"/>
      <w:gridCol w:w="160"/>
      <w:gridCol w:w="160"/>
      <w:gridCol w:w="160"/>
      <w:gridCol w:w="160"/>
    </w:tblGrid>
    <w:tr w:rsidR="003A7D5A" w:rsidTr="006C2517">
      <w:trPr>
        <w:trHeight w:val="226"/>
      </w:trPr>
      <w:tc>
        <w:tcPr>
          <w:tcW w:w="1418" w:type="dxa"/>
          <w:tcBorders>
            <w:top w:val="nil"/>
            <w:left w:val="nil"/>
            <w:bottom w:val="nil"/>
            <w:right w:val="nil"/>
          </w:tcBorders>
        </w:tcPr>
        <w:p w:rsidR="003A7D5A" w:rsidRDefault="003A7D5A" w:rsidP="000856EA">
          <w:pPr>
            <w:pStyle w:val="Intestazione"/>
            <w:jc w:val="left"/>
          </w:pPr>
          <w:bookmarkStart w:id="1" w:name="_Hlk511983232"/>
          <w:r>
            <w:rPr>
              <w:noProof/>
              <w:lang w:eastAsia="it-IT"/>
            </w:rPr>
            <w:drawing>
              <wp:inline distT="0" distB="0" distL="0" distR="0" wp14:anchorId="56A6ED33" wp14:editId="5CE69F62">
                <wp:extent cx="768096" cy="447101"/>
                <wp:effectExtent l="0" t="0" r="0" b="0"/>
                <wp:docPr id="2" name="Immagine 2" descr="S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263" cy="465243"/>
                        </a:xfrm>
                        <a:prstGeom prst="rect">
                          <a:avLst/>
                        </a:prstGeom>
                        <a:noFill/>
                        <a:ln>
                          <a:noFill/>
                        </a:ln>
                      </pic:spPr>
                    </pic:pic>
                  </a:graphicData>
                </a:graphic>
              </wp:inline>
            </w:drawing>
          </w:r>
        </w:p>
      </w:tc>
      <w:tc>
        <w:tcPr>
          <w:tcW w:w="1417" w:type="dxa"/>
          <w:tcBorders>
            <w:top w:val="nil"/>
            <w:left w:val="nil"/>
            <w:bottom w:val="nil"/>
            <w:right w:val="nil"/>
          </w:tcBorders>
        </w:tcPr>
        <w:p w:rsidR="003A7D5A" w:rsidRPr="0029120B" w:rsidRDefault="003A7D5A" w:rsidP="003A7D5A">
          <w:pPr>
            <w:pStyle w:val="Intestazione"/>
            <w:jc w:val="left"/>
            <w:rPr>
              <w:b/>
              <w:color w:val="595959"/>
              <w:sz w:val="12"/>
            </w:rPr>
          </w:pPr>
          <w:r w:rsidRPr="0029120B">
            <w:rPr>
              <w:b/>
              <w:color w:val="595959"/>
              <w:sz w:val="12"/>
            </w:rPr>
            <w:t>SECO S.p.A.</w:t>
          </w:r>
          <w:r w:rsidRPr="0029120B">
            <w:rPr>
              <w:b/>
              <w:color w:val="595959"/>
              <w:sz w:val="12"/>
            </w:rPr>
            <w:tab/>
          </w:r>
        </w:p>
        <w:p w:rsidR="003A7D5A" w:rsidRPr="0029120B" w:rsidRDefault="003A7D5A" w:rsidP="003A7D5A">
          <w:pPr>
            <w:pStyle w:val="Intestazione"/>
            <w:jc w:val="left"/>
            <w:rPr>
              <w:color w:val="595959"/>
              <w:sz w:val="12"/>
            </w:rPr>
          </w:pPr>
          <w:r w:rsidRPr="0029120B">
            <w:rPr>
              <w:color w:val="595959"/>
              <w:sz w:val="12"/>
            </w:rPr>
            <w:t>Via Calamandrei, 91</w:t>
          </w:r>
        </w:p>
        <w:p w:rsidR="003A7D5A" w:rsidRPr="0029120B" w:rsidRDefault="003A7D5A" w:rsidP="003A7D5A">
          <w:pPr>
            <w:pStyle w:val="Intestazione"/>
            <w:jc w:val="left"/>
            <w:rPr>
              <w:color w:val="595959"/>
              <w:sz w:val="12"/>
            </w:rPr>
          </w:pPr>
          <w:r w:rsidRPr="0029120B">
            <w:rPr>
              <w:color w:val="595959"/>
              <w:sz w:val="12"/>
            </w:rPr>
            <w:t xml:space="preserve">52100 Arezzo – </w:t>
          </w:r>
          <w:proofErr w:type="spellStart"/>
          <w:r w:rsidRPr="0029120B">
            <w:rPr>
              <w:color w:val="595959"/>
              <w:sz w:val="12"/>
            </w:rPr>
            <w:t>Italy</w:t>
          </w:r>
          <w:proofErr w:type="spellEnd"/>
        </w:p>
        <w:p w:rsidR="003A7D5A" w:rsidRPr="0029120B" w:rsidRDefault="003A7D5A" w:rsidP="003A7D5A">
          <w:pPr>
            <w:pStyle w:val="Intestazione"/>
            <w:jc w:val="left"/>
            <w:rPr>
              <w:color w:val="595959"/>
              <w:sz w:val="12"/>
            </w:rPr>
          </w:pPr>
          <w:proofErr w:type="spellStart"/>
          <w:r w:rsidRPr="0029120B">
            <w:rPr>
              <w:color w:val="595959"/>
              <w:sz w:val="12"/>
            </w:rPr>
            <w:t>Ph</w:t>
          </w:r>
          <w:proofErr w:type="spellEnd"/>
          <w:r w:rsidRPr="0029120B">
            <w:rPr>
              <w:color w:val="595959"/>
              <w:sz w:val="12"/>
            </w:rPr>
            <w:t>: +39 0575 26979</w:t>
          </w:r>
        </w:p>
        <w:p w:rsidR="003A7D5A" w:rsidRPr="0029120B" w:rsidRDefault="003A7D5A" w:rsidP="003A7D5A">
          <w:pPr>
            <w:pStyle w:val="Intestazione"/>
            <w:jc w:val="left"/>
            <w:rPr>
              <w:b/>
              <w:color w:val="595959"/>
              <w:sz w:val="12"/>
            </w:rPr>
          </w:pPr>
          <w:r w:rsidRPr="0029120B">
            <w:rPr>
              <w:color w:val="595959"/>
              <w:sz w:val="12"/>
            </w:rPr>
            <w:t>Fax: +39 0575 350210</w:t>
          </w:r>
        </w:p>
      </w:tc>
      <w:tc>
        <w:tcPr>
          <w:tcW w:w="5833" w:type="dxa"/>
          <w:tcBorders>
            <w:top w:val="nil"/>
            <w:left w:val="nil"/>
            <w:bottom w:val="nil"/>
            <w:right w:val="nil"/>
          </w:tcBorders>
        </w:tcPr>
        <w:p w:rsidR="003A7D5A" w:rsidRPr="0029120B" w:rsidRDefault="003A7D5A" w:rsidP="003A7D5A">
          <w:pPr>
            <w:pStyle w:val="Intestazione"/>
            <w:jc w:val="left"/>
            <w:rPr>
              <w:color w:val="595959"/>
              <w:sz w:val="12"/>
              <w:lang w:val="en-GB"/>
            </w:rPr>
          </w:pPr>
          <w:r w:rsidRPr="0029120B">
            <w:rPr>
              <w:color w:val="595959"/>
              <w:sz w:val="12"/>
              <w:lang w:val="en-GB"/>
            </w:rPr>
            <w:t>P.IVA – VAT IT 00325250512</w:t>
          </w:r>
        </w:p>
        <w:p w:rsidR="003A7D5A" w:rsidRPr="0029120B" w:rsidRDefault="003A7D5A" w:rsidP="003A7D5A">
          <w:pPr>
            <w:pStyle w:val="Intestazione"/>
            <w:jc w:val="left"/>
            <w:rPr>
              <w:color w:val="595959"/>
              <w:sz w:val="12"/>
            </w:rPr>
          </w:pPr>
          <w:r w:rsidRPr="0029120B">
            <w:rPr>
              <w:color w:val="595959"/>
              <w:sz w:val="12"/>
              <w:lang w:val="en-GB"/>
            </w:rPr>
            <w:t xml:space="preserve">Cap. Soc. </w:t>
          </w:r>
          <w:r w:rsidRPr="0029120B">
            <w:rPr>
              <w:color w:val="595959"/>
              <w:sz w:val="12"/>
            </w:rPr>
            <w:t xml:space="preserve">€ </w:t>
          </w:r>
          <w:r w:rsidR="006C2517" w:rsidRPr="0029120B">
            <w:rPr>
              <w:color w:val="595959"/>
              <w:sz w:val="12"/>
            </w:rPr>
            <w:t>763.439 i.v.</w:t>
          </w:r>
        </w:p>
        <w:p w:rsidR="003A7D5A" w:rsidRPr="0029120B" w:rsidRDefault="003A7D5A" w:rsidP="003A7D5A">
          <w:pPr>
            <w:pStyle w:val="Intestazione"/>
            <w:jc w:val="left"/>
            <w:rPr>
              <w:color w:val="595959"/>
              <w:sz w:val="12"/>
            </w:rPr>
          </w:pPr>
          <w:r w:rsidRPr="0029120B">
            <w:rPr>
              <w:color w:val="595959"/>
              <w:sz w:val="12"/>
            </w:rPr>
            <w:t>Reg. Imprese n. 4196 Arezzo</w:t>
          </w:r>
        </w:p>
        <w:p w:rsidR="003A7D5A" w:rsidRPr="0029120B" w:rsidRDefault="003A7D5A" w:rsidP="003A7D5A">
          <w:pPr>
            <w:pStyle w:val="Intestazione"/>
            <w:jc w:val="left"/>
            <w:rPr>
              <w:color w:val="595959"/>
              <w:sz w:val="12"/>
            </w:rPr>
          </w:pPr>
          <w:r w:rsidRPr="0029120B">
            <w:rPr>
              <w:color w:val="595959"/>
              <w:sz w:val="12"/>
            </w:rPr>
            <w:t>REA n. 70645</w:t>
          </w:r>
        </w:p>
        <w:p w:rsidR="003A7D5A" w:rsidRPr="0029120B" w:rsidRDefault="003A7D5A" w:rsidP="003A7D5A">
          <w:pPr>
            <w:pStyle w:val="Intestazione"/>
            <w:jc w:val="left"/>
            <w:rPr>
              <w:color w:val="595959"/>
              <w:sz w:val="10"/>
            </w:rPr>
          </w:pPr>
          <w:r w:rsidRPr="0029120B">
            <w:rPr>
              <w:color w:val="595959"/>
              <w:sz w:val="12"/>
            </w:rPr>
            <w:t>Meccanografico AR007079</w:t>
          </w:r>
          <w:r w:rsidRPr="0029120B">
            <w:rPr>
              <w:color w:val="595959"/>
              <w:sz w:val="10"/>
            </w:rPr>
            <w:tab/>
          </w: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c>
        <w:tcPr>
          <w:tcW w:w="160" w:type="dxa"/>
          <w:tcBorders>
            <w:top w:val="nil"/>
            <w:left w:val="nil"/>
            <w:bottom w:val="nil"/>
            <w:right w:val="nil"/>
          </w:tcBorders>
        </w:tcPr>
        <w:p w:rsidR="003A7D5A" w:rsidRDefault="003A7D5A" w:rsidP="000856EA">
          <w:pPr>
            <w:pStyle w:val="Intestazione"/>
            <w:jc w:val="left"/>
          </w:pPr>
        </w:p>
      </w:tc>
    </w:tr>
    <w:bookmarkEnd w:id="1"/>
  </w:tbl>
  <w:p w:rsidR="003E6271" w:rsidRDefault="003E6271">
    <w:pPr>
      <w:pStyle w:val="Intestazione"/>
    </w:pPr>
  </w:p>
  <w:p w:rsidR="00826868" w:rsidRDefault="008268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93D44"/>
    <w:multiLevelType w:val="multilevel"/>
    <w:tmpl w:val="CFAC7B28"/>
    <w:lvl w:ilvl="0">
      <w:start w:val="1"/>
      <w:numFmt w:val="decimal"/>
      <w:pStyle w:val="Titolo1"/>
      <w:lvlText w:val="%1"/>
      <w:lvlJc w:val="left"/>
      <w:pPr>
        <w:ind w:left="432" w:hanging="432"/>
      </w:pPr>
      <w:rPr>
        <w:rFonts w:ascii="Century Gothic" w:eastAsiaTheme="majorEastAsia" w:hAnsi="Century Gothic" w:cstheme="majorBidi"/>
      </w:r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8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243"/>
    <w:rsid w:val="00031518"/>
    <w:rsid w:val="00067F82"/>
    <w:rsid w:val="00074406"/>
    <w:rsid w:val="000856EA"/>
    <w:rsid w:val="000A1536"/>
    <w:rsid w:val="000C218C"/>
    <w:rsid w:val="000C6784"/>
    <w:rsid w:val="000D2EF4"/>
    <w:rsid w:val="000E1B12"/>
    <w:rsid w:val="000F433F"/>
    <w:rsid w:val="0010701F"/>
    <w:rsid w:val="00110150"/>
    <w:rsid w:val="00125E51"/>
    <w:rsid w:val="00131842"/>
    <w:rsid w:val="00134D27"/>
    <w:rsid w:val="00140553"/>
    <w:rsid w:val="00143AB2"/>
    <w:rsid w:val="00153B8F"/>
    <w:rsid w:val="00184E11"/>
    <w:rsid w:val="001873F6"/>
    <w:rsid w:val="001B4D75"/>
    <w:rsid w:val="001E3CD5"/>
    <w:rsid w:val="002260FA"/>
    <w:rsid w:val="00250526"/>
    <w:rsid w:val="0029120B"/>
    <w:rsid w:val="002C293D"/>
    <w:rsid w:val="002D5605"/>
    <w:rsid w:val="002F11FC"/>
    <w:rsid w:val="003039F9"/>
    <w:rsid w:val="00337D87"/>
    <w:rsid w:val="0035644A"/>
    <w:rsid w:val="00362932"/>
    <w:rsid w:val="003A7D5A"/>
    <w:rsid w:val="003D2E6E"/>
    <w:rsid w:val="003E6271"/>
    <w:rsid w:val="003F0FF3"/>
    <w:rsid w:val="0041269B"/>
    <w:rsid w:val="0041781A"/>
    <w:rsid w:val="00481864"/>
    <w:rsid w:val="00515C61"/>
    <w:rsid w:val="0052109E"/>
    <w:rsid w:val="005245F2"/>
    <w:rsid w:val="0056793C"/>
    <w:rsid w:val="00567D04"/>
    <w:rsid w:val="00571F3D"/>
    <w:rsid w:val="005B5773"/>
    <w:rsid w:val="005C2B51"/>
    <w:rsid w:val="005E31AC"/>
    <w:rsid w:val="005F59F6"/>
    <w:rsid w:val="006100D8"/>
    <w:rsid w:val="00630231"/>
    <w:rsid w:val="00667B19"/>
    <w:rsid w:val="00693ED0"/>
    <w:rsid w:val="006A5093"/>
    <w:rsid w:val="006B6D79"/>
    <w:rsid w:val="006C2517"/>
    <w:rsid w:val="006D66C4"/>
    <w:rsid w:val="006D7F6B"/>
    <w:rsid w:val="00715461"/>
    <w:rsid w:val="007344E8"/>
    <w:rsid w:val="00802DE7"/>
    <w:rsid w:val="00826868"/>
    <w:rsid w:val="0086109A"/>
    <w:rsid w:val="0086416D"/>
    <w:rsid w:val="008977CD"/>
    <w:rsid w:val="008A7243"/>
    <w:rsid w:val="00922E84"/>
    <w:rsid w:val="00923B68"/>
    <w:rsid w:val="00927EEE"/>
    <w:rsid w:val="00944BEA"/>
    <w:rsid w:val="009C5DC1"/>
    <w:rsid w:val="00A1330D"/>
    <w:rsid w:val="00A77094"/>
    <w:rsid w:val="00B048FC"/>
    <w:rsid w:val="00B24591"/>
    <w:rsid w:val="00B43657"/>
    <w:rsid w:val="00B51F64"/>
    <w:rsid w:val="00B55A80"/>
    <w:rsid w:val="00B81B17"/>
    <w:rsid w:val="00B9011A"/>
    <w:rsid w:val="00BA508A"/>
    <w:rsid w:val="00BB5CB3"/>
    <w:rsid w:val="00BD6CB8"/>
    <w:rsid w:val="00BE7EE5"/>
    <w:rsid w:val="00BF3BC5"/>
    <w:rsid w:val="00C215B5"/>
    <w:rsid w:val="00C61961"/>
    <w:rsid w:val="00C75057"/>
    <w:rsid w:val="00C76218"/>
    <w:rsid w:val="00C858A0"/>
    <w:rsid w:val="00C87F48"/>
    <w:rsid w:val="00C9030E"/>
    <w:rsid w:val="00CF16F9"/>
    <w:rsid w:val="00D00CCE"/>
    <w:rsid w:val="00D2657D"/>
    <w:rsid w:val="00D47847"/>
    <w:rsid w:val="00D55083"/>
    <w:rsid w:val="00D75A23"/>
    <w:rsid w:val="00D90277"/>
    <w:rsid w:val="00DB4E94"/>
    <w:rsid w:val="00E36F8B"/>
    <w:rsid w:val="00E37C71"/>
    <w:rsid w:val="00E92BC4"/>
    <w:rsid w:val="00F07DCA"/>
    <w:rsid w:val="00F93421"/>
    <w:rsid w:val="00FB7597"/>
    <w:rsid w:val="00FD64E2"/>
    <w:rsid w:val="00FE2564"/>
    <w:rsid w:val="00FF59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3D1FBEA-8B5D-422F-8C75-3FC26BA3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16"/>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344E8"/>
    <w:pPr>
      <w:keepLines/>
      <w:jc w:val="both"/>
    </w:pPr>
  </w:style>
  <w:style w:type="paragraph" w:styleId="Titolo1">
    <w:name w:val="heading 1"/>
    <w:basedOn w:val="Normale"/>
    <w:next w:val="Titolo2"/>
    <w:link w:val="Titolo1Carattere"/>
    <w:uiPriority w:val="9"/>
    <w:qFormat/>
    <w:rsid w:val="00184E11"/>
    <w:pPr>
      <w:keepNext/>
      <w:numPr>
        <w:numId w:val="1"/>
      </w:numPr>
      <w:pBdr>
        <w:bottom w:val="single" w:sz="4" w:space="1" w:color="auto"/>
      </w:pBdr>
      <w:spacing w:after="240"/>
      <w:ind w:left="431" w:hanging="431"/>
      <w:outlineLvl w:val="0"/>
    </w:pPr>
    <w:rPr>
      <w:rFonts w:eastAsiaTheme="majorEastAsia" w:cstheme="majorBidi"/>
      <w:b/>
      <w:bCs/>
      <w:color w:val="1F497D" w:themeColor="text2"/>
      <w:sz w:val="24"/>
      <w:szCs w:val="28"/>
    </w:rPr>
  </w:style>
  <w:style w:type="paragraph" w:styleId="Titolo2">
    <w:name w:val="heading 2"/>
    <w:basedOn w:val="Normale"/>
    <w:next w:val="Titolo3"/>
    <w:link w:val="Titolo2Carattere"/>
    <w:uiPriority w:val="9"/>
    <w:unhideWhenUsed/>
    <w:qFormat/>
    <w:rsid w:val="0052109E"/>
    <w:pPr>
      <w:keepNext/>
      <w:numPr>
        <w:ilvl w:val="1"/>
        <w:numId w:val="1"/>
      </w:numPr>
      <w:spacing w:after="240"/>
      <w:ind w:left="578" w:hanging="578"/>
      <w:outlineLvl w:val="1"/>
    </w:pPr>
    <w:rPr>
      <w:rFonts w:eastAsiaTheme="majorEastAsia" w:cstheme="majorBidi"/>
      <w:b/>
      <w:bCs/>
      <w:color w:val="365F91" w:themeColor="accent1" w:themeShade="BF"/>
      <w:sz w:val="24"/>
      <w:szCs w:val="26"/>
    </w:rPr>
  </w:style>
  <w:style w:type="paragraph" w:styleId="Titolo3">
    <w:name w:val="heading 3"/>
    <w:basedOn w:val="Normale"/>
    <w:next w:val="Titolo4"/>
    <w:link w:val="Titolo3Carattere"/>
    <w:uiPriority w:val="9"/>
    <w:unhideWhenUsed/>
    <w:qFormat/>
    <w:rsid w:val="00B81B17"/>
    <w:pPr>
      <w:keepNext/>
      <w:numPr>
        <w:ilvl w:val="2"/>
        <w:numId w:val="1"/>
      </w:numPr>
      <w:spacing w:after="240"/>
      <w:ind w:left="890"/>
      <w:outlineLvl w:val="2"/>
    </w:pPr>
    <w:rPr>
      <w:rFonts w:eastAsiaTheme="majorEastAsia" w:cstheme="majorBidi"/>
      <w:b/>
      <w:bCs/>
      <w:color w:val="4F81BD" w:themeColor="accent1"/>
      <w:sz w:val="24"/>
    </w:rPr>
  </w:style>
  <w:style w:type="paragraph" w:styleId="Titolo4">
    <w:name w:val="heading 4"/>
    <w:basedOn w:val="Normale"/>
    <w:next w:val="Normale"/>
    <w:link w:val="Titolo4Carattere"/>
    <w:uiPriority w:val="9"/>
    <w:unhideWhenUsed/>
    <w:qFormat/>
    <w:rsid w:val="00D75A23"/>
    <w:pPr>
      <w:keepNext/>
      <w:numPr>
        <w:ilvl w:val="3"/>
        <w:numId w:val="1"/>
      </w:numPr>
      <w:spacing w:after="240"/>
      <w:ind w:left="1202" w:hanging="862"/>
      <w:outlineLvl w:val="3"/>
    </w:pPr>
    <w:rPr>
      <w:rFonts w:eastAsiaTheme="majorEastAsia" w:cstheme="majorBidi"/>
      <w:b/>
      <w:bCs/>
      <w:iCs/>
      <w:color w:val="548DD4" w:themeColor="text2" w:themeTint="99"/>
      <w:sz w:val="24"/>
    </w:rPr>
  </w:style>
  <w:style w:type="paragraph" w:styleId="Titolo5">
    <w:name w:val="heading 5"/>
    <w:basedOn w:val="Normale"/>
    <w:next w:val="Normale"/>
    <w:link w:val="Titolo5Carattere"/>
    <w:uiPriority w:val="9"/>
    <w:unhideWhenUsed/>
    <w:qFormat/>
    <w:rsid w:val="00D75A23"/>
    <w:pPr>
      <w:keepNext/>
      <w:numPr>
        <w:ilvl w:val="4"/>
        <w:numId w:val="1"/>
      </w:numPr>
      <w:spacing w:before="200" w:after="0"/>
      <w:ind w:left="1519" w:hanging="1009"/>
      <w:outlineLvl w:val="4"/>
    </w:pPr>
    <w:rPr>
      <w:rFonts w:eastAsiaTheme="majorEastAsia" w:cstheme="majorBidi"/>
      <w:b/>
      <w:color w:val="548DD4" w:themeColor="text2" w:themeTint="99"/>
      <w:sz w:val="24"/>
    </w:rPr>
  </w:style>
  <w:style w:type="paragraph" w:styleId="Titolo6">
    <w:name w:val="heading 6"/>
    <w:basedOn w:val="Normale"/>
    <w:next w:val="Normale"/>
    <w:link w:val="Titolo6Carattere"/>
    <w:uiPriority w:val="9"/>
    <w:semiHidden/>
    <w:unhideWhenUsed/>
    <w:qFormat/>
    <w:rsid w:val="00D75A23"/>
    <w:pPr>
      <w:keepNext/>
      <w:numPr>
        <w:ilvl w:val="5"/>
        <w:numId w:val="1"/>
      </w:numPr>
      <w:spacing w:before="200" w:after="0"/>
      <w:ind w:left="1831" w:hanging="1151"/>
      <w:outlineLvl w:val="5"/>
    </w:pPr>
    <w:rPr>
      <w:rFonts w:eastAsiaTheme="majorEastAsia" w:cstheme="majorBidi"/>
      <w:b/>
      <w:iCs/>
      <w:color w:val="548DD4" w:themeColor="text2" w:themeTint="99"/>
      <w:sz w:val="24"/>
    </w:rPr>
  </w:style>
  <w:style w:type="paragraph" w:styleId="Titolo7">
    <w:name w:val="heading 7"/>
    <w:basedOn w:val="Normale"/>
    <w:next w:val="Normale"/>
    <w:link w:val="Titolo7Carattere"/>
    <w:uiPriority w:val="9"/>
    <w:semiHidden/>
    <w:unhideWhenUsed/>
    <w:qFormat/>
    <w:rsid w:val="00031518"/>
    <w:pPr>
      <w:keepNext/>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31518"/>
    <w:pPr>
      <w:keepNext/>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031518"/>
    <w:pPr>
      <w:keepNext/>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84E11"/>
    <w:rPr>
      <w:rFonts w:eastAsiaTheme="majorEastAsia" w:cstheme="majorBidi"/>
      <w:b/>
      <w:bCs/>
      <w:color w:val="1F497D" w:themeColor="text2"/>
      <w:sz w:val="24"/>
      <w:szCs w:val="28"/>
    </w:rPr>
  </w:style>
  <w:style w:type="character" w:customStyle="1" w:styleId="Titolo2Carattere">
    <w:name w:val="Titolo 2 Carattere"/>
    <w:basedOn w:val="Carpredefinitoparagrafo"/>
    <w:link w:val="Titolo2"/>
    <w:uiPriority w:val="9"/>
    <w:rsid w:val="0052109E"/>
    <w:rPr>
      <w:rFonts w:ascii="Century Gothic" w:eastAsiaTheme="majorEastAsia" w:hAnsi="Century Gothic" w:cstheme="majorBidi"/>
      <w:b/>
      <w:bCs/>
      <w:color w:val="365F91" w:themeColor="accent1" w:themeShade="BF"/>
      <w:sz w:val="24"/>
      <w:szCs w:val="26"/>
    </w:rPr>
  </w:style>
  <w:style w:type="character" w:customStyle="1" w:styleId="Titolo3Carattere">
    <w:name w:val="Titolo 3 Carattere"/>
    <w:basedOn w:val="Carpredefinitoparagrafo"/>
    <w:link w:val="Titolo3"/>
    <w:uiPriority w:val="9"/>
    <w:rsid w:val="00B81B17"/>
    <w:rPr>
      <w:rFonts w:ascii="Century Gothic" w:eastAsiaTheme="majorEastAsia" w:hAnsi="Century Gothic" w:cstheme="majorBidi"/>
      <w:b/>
      <w:bCs/>
      <w:color w:val="4F81BD" w:themeColor="accent1"/>
      <w:sz w:val="24"/>
    </w:rPr>
  </w:style>
  <w:style w:type="character" w:customStyle="1" w:styleId="Titolo4Carattere">
    <w:name w:val="Titolo 4 Carattere"/>
    <w:basedOn w:val="Carpredefinitoparagrafo"/>
    <w:link w:val="Titolo4"/>
    <w:uiPriority w:val="9"/>
    <w:rsid w:val="00D75A23"/>
    <w:rPr>
      <w:rFonts w:ascii="Century Gothic" w:eastAsiaTheme="majorEastAsia" w:hAnsi="Century Gothic" w:cstheme="majorBidi"/>
      <w:b/>
      <w:bCs/>
      <w:iCs/>
      <w:color w:val="548DD4" w:themeColor="text2" w:themeTint="99"/>
      <w:sz w:val="24"/>
    </w:rPr>
  </w:style>
  <w:style w:type="character" w:customStyle="1" w:styleId="Titolo5Carattere">
    <w:name w:val="Titolo 5 Carattere"/>
    <w:basedOn w:val="Carpredefinitoparagrafo"/>
    <w:link w:val="Titolo5"/>
    <w:uiPriority w:val="9"/>
    <w:rsid w:val="00D75A23"/>
    <w:rPr>
      <w:rFonts w:ascii="Century Gothic" w:eastAsiaTheme="majorEastAsia" w:hAnsi="Century Gothic" w:cstheme="majorBidi"/>
      <w:b/>
      <w:color w:val="548DD4" w:themeColor="text2" w:themeTint="99"/>
      <w:sz w:val="24"/>
    </w:rPr>
  </w:style>
  <w:style w:type="character" w:customStyle="1" w:styleId="Titolo6Carattere">
    <w:name w:val="Titolo 6 Carattere"/>
    <w:basedOn w:val="Carpredefinitoparagrafo"/>
    <w:link w:val="Titolo6"/>
    <w:uiPriority w:val="9"/>
    <w:semiHidden/>
    <w:rsid w:val="00D75A23"/>
    <w:rPr>
      <w:rFonts w:ascii="Century Gothic" w:eastAsiaTheme="majorEastAsia" w:hAnsi="Century Gothic" w:cstheme="majorBidi"/>
      <w:b/>
      <w:iCs/>
      <w:color w:val="548DD4" w:themeColor="text2" w:themeTint="99"/>
      <w:sz w:val="24"/>
    </w:rPr>
  </w:style>
  <w:style w:type="character" w:customStyle="1" w:styleId="Titolo7Carattere">
    <w:name w:val="Titolo 7 Carattere"/>
    <w:basedOn w:val="Carpredefinitoparagrafo"/>
    <w:link w:val="Titolo7"/>
    <w:uiPriority w:val="9"/>
    <w:semiHidden/>
    <w:rsid w:val="00031518"/>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518"/>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518"/>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rsid w:val="00031518"/>
    <w:pPr>
      <w:keepLines/>
      <w:spacing w:after="0" w:line="240" w:lineRule="auto"/>
    </w:pPr>
    <w:rPr>
      <w:color w:val="000000" w:themeColor="text1"/>
    </w:rPr>
  </w:style>
  <w:style w:type="paragraph" w:styleId="Titolo">
    <w:name w:val="Title"/>
    <w:basedOn w:val="Normale"/>
    <w:next w:val="Titolo1"/>
    <w:link w:val="TitoloCarattere"/>
    <w:uiPriority w:val="10"/>
    <w:qFormat/>
    <w:rsid w:val="00C61961"/>
    <w:pPr>
      <w:shd w:val="clear" w:color="auto" w:fill="1F497D" w:themeFill="text2"/>
      <w:spacing w:after="360" w:line="240" w:lineRule="auto"/>
      <w:contextualSpacing/>
      <w:jc w:val="center"/>
    </w:pPr>
    <w:rPr>
      <w:rFonts w:eastAsiaTheme="majorEastAsia" w:cstheme="majorBidi"/>
      <w:b/>
      <w:caps/>
      <w:color w:val="FFFFFF" w:themeColor="background1"/>
      <w:spacing w:val="5"/>
      <w:kern w:val="28"/>
      <w:sz w:val="32"/>
      <w:szCs w:val="52"/>
    </w:rPr>
  </w:style>
  <w:style w:type="character" w:customStyle="1" w:styleId="TitoloCarattere">
    <w:name w:val="Titolo Carattere"/>
    <w:basedOn w:val="Carpredefinitoparagrafo"/>
    <w:link w:val="Titolo"/>
    <w:uiPriority w:val="10"/>
    <w:rsid w:val="00C61961"/>
    <w:rPr>
      <w:rFonts w:eastAsiaTheme="majorEastAsia" w:cstheme="majorBidi"/>
      <w:b/>
      <w:caps/>
      <w:color w:val="FFFFFF" w:themeColor="background1"/>
      <w:spacing w:val="5"/>
      <w:kern w:val="28"/>
      <w:sz w:val="32"/>
      <w:szCs w:val="52"/>
      <w:shd w:val="clear" w:color="auto" w:fill="1F497D" w:themeFill="text2"/>
    </w:rPr>
  </w:style>
  <w:style w:type="paragraph" w:styleId="Sottotitolo">
    <w:name w:val="Subtitle"/>
    <w:basedOn w:val="Normale"/>
    <w:next w:val="Normale"/>
    <w:link w:val="SottotitoloCarattere"/>
    <w:autoRedefine/>
    <w:uiPriority w:val="11"/>
    <w:qFormat/>
    <w:rsid w:val="000E1B12"/>
    <w:pPr>
      <w:numPr>
        <w:ilvl w:val="1"/>
      </w:numPr>
      <w:spacing w:after="360"/>
    </w:pPr>
    <w:rPr>
      <w:rFonts w:eastAsiaTheme="majorEastAsia" w:cstheme="majorBidi"/>
      <w:b/>
      <w:iCs/>
      <w:color w:val="595959" w:themeColor="text1" w:themeTint="A6"/>
      <w:spacing w:val="15"/>
      <w:sz w:val="24"/>
      <w:szCs w:val="24"/>
    </w:rPr>
  </w:style>
  <w:style w:type="character" w:customStyle="1" w:styleId="SottotitoloCarattere">
    <w:name w:val="Sottotitolo Carattere"/>
    <w:basedOn w:val="Carpredefinitoparagrafo"/>
    <w:link w:val="Sottotitolo"/>
    <w:uiPriority w:val="11"/>
    <w:rsid w:val="000E1B12"/>
    <w:rPr>
      <w:rFonts w:eastAsiaTheme="majorEastAsia" w:cstheme="majorBidi"/>
      <w:b/>
      <w:iCs/>
      <w:color w:val="595959" w:themeColor="text1" w:themeTint="A6"/>
      <w:spacing w:val="15"/>
      <w:sz w:val="24"/>
      <w:szCs w:val="24"/>
    </w:rPr>
  </w:style>
  <w:style w:type="character" w:styleId="Enfasidelicata">
    <w:name w:val="Subtle Emphasis"/>
    <w:aliases w:val="Titolo Tabella"/>
    <w:basedOn w:val="Carpredefinitoparagrafo"/>
    <w:uiPriority w:val="19"/>
    <w:qFormat/>
    <w:rsid w:val="00C76218"/>
    <w:rPr>
      <w:rFonts w:ascii="Century Gothic" w:hAnsi="Century Gothic"/>
      <w:b/>
      <w:i w:val="0"/>
      <w:iCs/>
      <w:color w:val="000000" w:themeColor="text1"/>
      <w:sz w:val="20"/>
    </w:rPr>
  </w:style>
  <w:style w:type="character" w:styleId="Enfasicorsivo">
    <w:name w:val="Emphasis"/>
    <w:basedOn w:val="Carpredefinitoparagrafo"/>
    <w:uiPriority w:val="20"/>
    <w:qFormat/>
    <w:rsid w:val="00B24591"/>
    <w:rPr>
      <w:rFonts w:ascii="Century Gothic" w:hAnsi="Century Gothic"/>
      <w:i/>
      <w:iCs/>
      <w:sz w:val="18"/>
    </w:rPr>
  </w:style>
  <w:style w:type="character" w:styleId="Enfasiintensa">
    <w:name w:val="Intense Emphasis"/>
    <w:basedOn w:val="Carpredefinitoparagrafo"/>
    <w:uiPriority w:val="21"/>
    <w:qFormat/>
    <w:rsid w:val="00B24591"/>
    <w:rPr>
      <w:rFonts w:ascii="Century Gothic" w:hAnsi="Century Gothic"/>
      <w:b/>
      <w:bCs/>
      <w:i/>
      <w:iCs/>
      <w:color w:val="4F81BD" w:themeColor="accent1"/>
      <w:sz w:val="16"/>
    </w:rPr>
  </w:style>
  <w:style w:type="character" w:styleId="Enfasigrassetto">
    <w:name w:val="Strong"/>
    <w:basedOn w:val="Carpredefinitoparagrafo"/>
    <w:uiPriority w:val="22"/>
    <w:qFormat/>
    <w:rsid w:val="00B24591"/>
    <w:rPr>
      <w:rFonts w:ascii="Century Gothic" w:hAnsi="Century Gothic"/>
      <w:b/>
      <w:bCs/>
      <w:sz w:val="16"/>
    </w:rPr>
  </w:style>
  <w:style w:type="paragraph" w:styleId="Citazione">
    <w:name w:val="Quote"/>
    <w:basedOn w:val="Normale"/>
    <w:next w:val="Normale"/>
    <w:link w:val="CitazioneCarattere"/>
    <w:uiPriority w:val="29"/>
    <w:qFormat/>
    <w:rsid w:val="00B24591"/>
    <w:rPr>
      <w:i/>
      <w:iCs/>
    </w:rPr>
  </w:style>
  <w:style w:type="character" w:customStyle="1" w:styleId="CitazioneCarattere">
    <w:name w:val="Citazione Carattere"/>
    <w:basedOn w:val="Carpredefinitoparagrafo"/>
    <w:link w:val="Citazione"/>
    <w:uiPriority w:val="29"/>
    <w:rsid w:val="00B24591"/>
    <w:rPr>
      <w:rFonts w:ascii="Century Gothic" w:hAnsi="Century Gothic"/>
      <w:i/>
      <w:iCs/>
      <w:color w:val="000000" w:themeColor="text1"/>
      <w:sz w:val="16"/>
    </w:rPr>
  </w:style>
  <w:style w:type="paragraph" w:styleId="Citazioneintensa">
    <w:name w:val="Intense Quote"/>
    <w:basedOn w:val="Normale"/>
    <w:next w:val="Normale"/>
    <w:link w:val="CitazioneintensaCarattere"/>
    <w:uiPriority w:val="30"/>
    <w:qFormat/>
    <w:rsid w:val="00B24591"/>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B24591"/>
    <w:rPr>
      <w:rFonts w:ascii="Century Gothic" w:hAnsi="Century Gothic"/>
      <w:b/>
      <w:bCs/>
      <w:i/>
      <w:iCs/>
      <w:color w:val="4F81BD" w:themeColor="accent1"/>
      <w:sz w:val="16"/>
    </w:rPr>
  </w:style>
  <w:style w:type="character" w:styleId="Riferimentodelicato">
    <w:name w:val="Subtle Reference"/>
    <w:basedOn w:val="Carpredefinitoparagrafo"/>
    <w:uiPriority w:val="31"/>
    <w:qFormat/>
    <w:rsid w:val="00B24591"/>
    <w:rPr>
      <w:rFonts w:ascii="Century Gothic" w:hAnsi="Century Gothic"/>
      <w:smallCaps/>
      <w:color w:val="C0504D" w:themeColor="accent2"/>
      <w:sz w:val="16"/>
      <w:u w:val="single"/>
    </w:rPr>
  </w:style>
  <w:style w:type="character" w:styleId="Riferimentointenso">
    <w:name w:val="Intense Reference"/>
    <w:basedOn w:val="Carpredefinitoparagrafo"/>
    <w:uiPriority w:val="32"/>
    <w:qFormat/>
    <w:rsid w:val="00B24591"/>
    <w:rPr>
      <w:rFonts w:ascii="Century Gothic" w:hAnsi="Century Gothic"/>
      <w:b/>
      <w:bCs/>
      <w:smallCaps/>
      <w:color w:val="C0504D" w:themeColor="accent2"/>
      <w:spacing w:val="5"/>
      <w:sz w:val="16"/>
      <w:u w:val="single"/>
    </w:rPr>
  </w:style>
  <w:style w:type="character" w:styleId="Titolodellibro">
    <w:name w:val="Book Title"/>
    <w:basedOn w:val="Carpredefinitoparagrafo"/>
    <w:uiPriority w:val="33"/>
    <w:qFormat/>
    <w:rsid w:val="00B24591"/>
    <w:rPr>
      <w:rFonts w:ascii="Century Gothic" w:hAnsi="Century Gothic"/>
      <w:b/>
      <w:bCs/>
      <w:smallCaps/>
      <w:spacing w:val="5"/>
      <w:sz w:val="18"/>
    </w:rPr>
  </w:style>
  <w:style w:type="paragraph" w:styleId="Paragrafoelenco">
    <w:name w:val="List Paragraph"/>
    <w:basedOn w:val="Normale"/>
    <w:uiPriority w:val="34"/>
    <w:qFormat/>
    <w:rsid w:val="00B24591"/>
    <w:pPr>
      <w:ind w:left="720"/>
      <w:contextualSpacing/>
    </w:pPr>
  </w:style>
  <w:style w:type="table" w:styleId="Grigliatabella">
    <w:name w:val="Table Grid"/>
    <w:basedOn w:val="Tabellanormale"/>
    <w:uiPriority w:val="59"/>
    <w:rsid w:val="00B2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1">
    <w:name w:val="Sfondo chiaro1"/>
    <w:basedOn w:val="Tabellanormale"/>
    <w:uiPriority w:val="60"/>
    <w:rsid w:val="00B2459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44BE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fondomedio1-Colore11">
    <w:name w:val="Sfondo medio 1 - Colore 11"/>
    <w:basedOn w:val="Tabellanormale"/>
    <w:uiPriority w:val="63"/>
    <w:rsid w:val="00944BE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ECOTabella">
    <w:name w:val="SECO Tabella"/>
    <w:basedOn w:val="Grigliatabella"/>
    <w:uiPriority w:val="99"/>
    <w:rsid w:val="00E36F8B"/>
    <w:pPr>
      <w:keepLines/>
      <w:suppressAutoHyphens/>
    </w:pPr>
    <w:rPr>
      <w:color w:val="000000" w:themeColor="text1"/>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vAlign w:val="center"/>
    </w:tcPr>
    <w:tblStylePr w:type="firstRow">
      <w:pPr>
        <w:wordWrap/>
      </w:pPr>
      <w:rPr>
        <w:rFonts w:ascii="Century Gothic" w:hAnsi="Century Gothic"/>
        <w:b/>
        <w:color w:val="auto"/>
        <w:sz w:val="18"/>
      </w:rPr>
      <w:tblPr/>
      <w:tcPr>
        <w:shd w:val="clear" w:color="auto" w:fill="auto"/>
      </w:tcPr>
    </w:tblStylePr>
    <w:tblStylePr w:type="lastRow">
      <w:rPr>
        <w:rFonts w:ascii="Century Gothic" w:hAnsi="Century Gothic"/>
        <w:b w:val="0"/>
        <w:color w:val="0D0D0D" w:themeColor="text1" w:themeTint="F2"/>
        <w:sz w:val="16"/>
      </w:rPr>
    </w:tblStylePr>
    <w:tblStylePr w:type="band1Horz">
      <w:rPr>
        <w:color w:val="000000" w:themeColor="text1"/>
      </w:rPr>
      <w:tblPr/>
      <w:tcPr>
        <w:shd w:val="clear" w:color="auto" w:fill="C6D9F1" w:themeFill="text2" w:themeFillTint="33"/>
      </w:tcPr>
    </w:tblStylePr>
  </w:style>
  <w:style w:type="paragraph" w:styleId="Testofumetto">
    <w:name w:val="Balloon Text"/>
    <w:basedOn w:val="Normale"/>
    <w:link w:val="TestofumettoCarattere"/>
    <w:uiPriority w:val="99"/>
    <w:semiHidden/>
    <w:unhideWhenUsed/>
    <w:rsid w:val="00C76218"/>
    <w:pPr>
      <w:spacing w:after="0" w:line="240" w:lineRule="auto"/>
    </w:pPr>
    <w:rPr>
      <w:rFonts w:ascii="Tahoma" w:hAnsi="Tahoma" w:cs="Tahoma"/>
      <w:szCs w:val="16"/>
    </w:rPr>
  </w:style>
  <w:style w:type="character" w:customStyle="1" w:styleId="TestofumettoCarattere">
    <w:name w:val="Testo fumetto Carattere"/>
    <w:basedOn w:val="Carpredefinitoparagrafo"/>
    <w:link w:val="Testofumetto"/>
    <w:uiPriority w:val="99"/>
    <w:semiHidden/>
    <w:rsid w:val="00C76218"/>
    <w:rPr>
      <w:rFonts w:ascii="Tahoma" w:hAnsi="Tahoma" w:cs="Tahoma"/>
      <w:color w:val="000000" w:themeColor="text1"/>
      <w:sz w:val="16"/>
      <w:szCs w:val="16"/>
    </w:rPr>
  </w:style>
  <w:style w:type="paragraph" w:styleId="Testonotaapidipagina">
    <w:name w:val="footnote text"/>
    <w:basedOn w:val="Normale"/>
    <w:link w:val="TestonotaapidipaginaCarattere"/>
    <w:uiPriority w:val="99"/>
    <w:semiHidden/>
    <w:unhideWhenUsed/>
    <w:rsid w:val="00BA508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508A"/>
    <w:rPr>
      <w:sz w:val="20"/>
      <w:szCs w:val="20"/>
    </w:rPr>
  </w:style>
  <w:style w:type="character" w:styleId="Rimandonotaapidipagina">
    <w:name w:val="footnote reference"/>
    <w:basedOn w:val="Carpredefinitoparagrafo"/>
    <w:uiPriority w:val="99"/>
    <w:semiHidden/>
    <w:unhideWhenUsed/>
    <w:rsid w:val="00BA508A"/>
    <w:rPr>
      <w:vertAlign w:val="superscript"/>
    </w:rPr>
  </w:style>
  <w:style w:type="paragraph" w:customStyle="1" w:styleId="note">
    <w:name w:val="note"/>
    <w:basedOn w:val="Testonotaapidipagina"/>
    <w:link w:val="noteCarattere"/>
    <w:qFormat/>
    <w:rsid w:val="00F07DCA"/>
    <w:rPr>
      <w:sz w:val="16"/>
    </w:rPr>
  </w:style>
  <w:style w:type="paragraph" w:styleId="Didascalia">
    <w:name w:val="caption"/>
    <w:basedOn w:val="Normale"/>
    <w:next w:val="Normale"/>
    <w:uiPriority w:val="35"/>
    <w:unhideWhenUsed/>
    <w:qFormat/>
    <w:rsid w:val="00C61961"/>
    <w:pPr>
      <w:spacing w:line="240" w:lineRule="auto"/>
    </w:pPr>
    <w:rPr>
      <w:b/>
      <w:bCs/>
      <w:color w:val="808080" w:themeColor="background1" w:themeShade="80"/>
      <w:szCs w:val="18"/>
    </w:rPr>
  </w:style>
  <w:style w:type="character" w:customStyle="1" w:styleId="noteCarattere">
    <w:name w:val="note Carattere"/>
    <w:basedOn w:val="TestonotaapidipaginaCarattere"/>
    <w:link w:val="note"/>
    <w:rsid w:val="00F07DCA"/>
    <w:rPr>
      <w:sz w:val="20"/>
      <w:szCs w:val="20"/>
    </w:rPr>
  </w:style>
  <w:style w:type="paragraph" w:styleId="Intestazione">
    <w:name w:val="header"/>
    <w:basedOn w:val="Normale"/>
    <w:link w:val="IntestazioneCarattere"/>
    <w:uiPriority w:val="99"/>
    <w:unhideWhenUsed/>
    <w:rsid w:val="003E62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E6271"/>
  </w:style>
  <w:style w:type="paragraph" w:styleId="Pidipagina">
    <w:name w:val="footer"/>
    <w:basedOn w:val="Normale"/>
    <w:link w:val="PidipaginaCarattere"/>
    <w:uiPriority w:val="99"/>
    <w:unhideWhenUsed/>
    <w:rsid w:val="003E62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E6271"/>
  </w:style>
  <w:style w:type="character" w:styleId="Collegamentoipertestuale">
    <w:name w:val="Hyperlink"/>
    <w:basedOn w:val="Carpredefinitoparagrafo"/>
    <w:uiPriority w:val="99"/>
    <w:unhideWhenUsed/>
    <w:rsid w:val="00067F82"/>
    <w:rPr>
      <w:color w:val="0000FF" w:themeColor="hyperlink"/>
      <w:u w:val="single"/>
    </w:rPr>
  </w:style>
  <w:style w:type="paragraph" w:styleId="Titolosommario">
    <w:name w:val="TOC Heading"/>
    <w:basedOn w:val="Titolo1"/>
    <w:next w:val="Normale"/>
    <w:uiPriority w:val="39"/>
    <w:unhideWhenUsed/>
    <w:qFormat/>
    <w:rsid w:val="00140553"/>
    <w:pPr>
      <w:numPr>
        <w:numId w:val="0"/>
      </w:numPr>
      <w:pBdr>
        <w:bottom w:val="none" w:sz="0" w:space="0" w:color="auto"/>
      </w:pBdr>
      <w:spacing w:before="480" w:after="0"/>
      <w:outlineLvl w:val="9"/>
    </w:pPr>
    <w:rPr>
      <w:rFonts w:asciiTheme="majorHAnsi" w:hAnsiTheme="majorHAnsi"/>
      <w:color w:val="365F91" w:themeColor="accent1" w:themeShade="BF"/>
      <w:sz w:val="28"/>
      <w:lang w:eastAsia="it-IT"/>
    </w:rPr>
  </w:style>
  <w:style w:type="paragraph" w:styleId="Sommario1">
    <w:name w:val="toc 1"/>
    <w:basedOn w:val="Normale"/>
    <w:next w:val="Normale"/>
    <w:autoRedefine/>
    <w:uiPriority w:val="39"/>
    <w:unhideWhenUsed/>
    <w:qFormat/>
    <w:rsid w:val="00140553"/>
    <w:pPr>
      <w:spacing w:after="100"/>
    </w:pPr>
  </w:style>
  <w:style w:type="paragraph" w:styleId="Sommario2">
    <w:name w:val="toc 2"/>
    <w:basedOn w:val="Normale"/>
    <w:next w:val="Normale"/>
    <w:autoRedefine/>
    <w:uiPriority w:val="39"/>
    <w:unhideWhenUsed/>
    <w:qFormat/>
    <w:rsid w:val="00140553"/>
    <w:pPr>
      <w:spacing w:after="100"/>
      <w:ind w:left="160"/>
    </w:pPr>
  </w:style>
  <w:style w:type="paragraph" w:styleId="Sommario3">
    <w:name w:val="toc 3"/>
    <w:basedOn w:val="Normale"/>
    <w:next w:val="Normale"/>
    <w:autoRedefine/>
    <w:uiPriority w:val="39"/>
    <w:unhideWhenUsed/>
    <w:qFormat/>
    <w:rsid w:val="00140553"/>
    <w:pPr>
      <w:spacing w:after="100"/>
      <w:ind w:left="320"/>
    </w:pPr>
  </w:style>
  <w:style w:type="paragraph" w:styleId="Sommario4">
    <w:name w:val="toc 4"/>
    <w:basedOn w:val="Normale"/>
    <w:next w:val="Normale"/>
    <w:autoRedefine/>
    <w:uiPriority w:val="39"/>
    <w:unhideWhenUsed/>
    <w:rsid w:val="00C75057"/>
    <w:pPr>
      <w:spacing w:after="100"/>
      <w:ind w:left="480"/>
    </w:pPr>
  </w:style>
  <w:style w:type="character" w:customStyle="1" w:styleId="Menzionenonrisolta1">
    <w:name w:val="Menzione non risolta1"/>
    <w:basedOn w:val="Carpredefinitoparagrafo"/>
    <w:uiPriority w:val="99"/>
    <w:semiHidden/>
    <w:unhideWhenUsed/>
    <w:rsid w:val="0029120B"/>
    <w:rPr>
      <w:color w:val="605E5C"/>
      <w:shd w:val="clear" w:color="auto" w:fill="E1DFDD"/>
    </w:rPr>
  </w:style>
  <w:style w:type="character" w:styleId="Menzionenonrisolta">
    <w:name w:val="Unresolved Mention"/>
    <w:basedOn w:val="Carpredefinitoparagrafo"/>
    <w:uiPriority w:val="99"/>
    <w:semiHidden/>
    <w:unhideWhenUsed/>
    <w:rsid w:val="00107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781590">
      <w:bodyDiv w:val="1"/>
      <w:marLeft w:val="0"/>
      <w:marRight w:val="0"/>
      <w:marTop w:val="0"/>
      <w:marBottom w:val="0"/>
      <w:divBdr>
        <w:top w:val="none" w:sz="0" w:space="0" w:color="auto"/>
        <w:left w:val="none" w:sz="0" w:space="0" w:color="auto"/>
        <w:bottom w:val="none" w:sz="0" w:space="0" w:color="auto"/>
        <w:right w:val="none" w:sz="0" w:space="0" w:color="auto"/>
      </w:divBdr>
    </w:div>
    <w:div w:id="13813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com/prods/eu/category/qseven-boards/q7-c25.html" TargetMode="External"/><Relationship Id="rId13" Type="http://schemas.openxmlformats.org/officeDocument/2006/relationships/hyperlink" Target="http://www.seco.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co.com/prods/eu/standard/smarc/sm-b71.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o.com/prods/eu/category/single-board-computer/sbc-c20.html" TargetMode="External"/><Relationship Id="rId5" Type="http://schemas.openxmlformats.org/officeDocument/2006/relationships/webSettings" Target="webSettings.xml"/><Relationship Id="rId15" Type="http://schemas.openxmlformats.org/officeDocument/2006/relationships/hyperlink" Target="mailto:marcom@seco.com" TargetMode="External"/><Relationship Id="rId10" Type="http://schemas.openxmlformats.org/officeDocument/2006/relationships/hyperlink" Target="http://www.seco.com/prods/eu/standard/smarc/sm-c1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co.com/prods/eu/q7-c26.html" TargetMode="External"/><Relationship Id="rId14" Type="http://schemas.openxmlformats.org/officeDocument/2006/relationships/hyperlink" Target="mailto:marcom@seco.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24985-6211-4F5C-A1B3-C8A47F2CB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1130</Words>
  <Characters>6443</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Federica Illiano</dc:creator>
  <cp:lastModifiedBy>Paola Cocca</cp:lastModifiedBy>
  <cp:revision>10</cp:revision>
  <cp:lastPrinted>2018-01-19T14:14:00Z</cp:lastPrinted>
  <dcterms:created xsi:type="dcterms:W3CDTF">2018-04-27T09:09:00Z</dcterms:created>
  <dcterms:modified xsi:type="dcterms:W3CDTF">2018-11-08T15:02:00Z</dcterms:modified>
</cp:coreProperties>
</file>